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E734" w14:textId="5BF3BF3F" w:rsidR="00600280" w:rsidRPr="00090B32" w:rsidRDefault="00600280" w:rsidP="00090B32">
      <w:pPr>
        <w:pStyle w:val="Header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090B32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Top Ten Takeaways</w:t>
      </w:r>
    </w:p>
    <w:p w14:paraId="747C889C" w14:textId="3D52C4B9" w:rsidR="00600280" w:rsidRPr="00090B32" w:rsidRDefault="00600280" w:rsidP="00090B32">
      <w:pPr>
        <w:pStyle w:val="Header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090B3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Employment First State Leadership Mentoring Program</w:t>
      </w:r>
      <w:r w:rsidR="00090B3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(EFSLMP)</w:t>
      </w:r>
    </w:p>
    <w:p w14:paraId="5019FB6B" w14:textId="6CA3FF34" w:rsidR="00090B32" w:rsidRPr="00090B32" w:rsidRDefault="00600280" w:rsidP="00090B32">
      <w:pPr>
        <w:pStyle w:val="Header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090B3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Federal Briefing on Interagency Coordination</w:t>
      </w:r>
    </w:p>
    <w:p w14:paraId="6EB83EDC" w14:textId="59A2A828" w:rsidR="00600280" w:rsidRPr="00090B32" w:rsidRDefault="00600280" w:rsidP="00090B32">
      <w:pPr>
        <w:pStyle w:val="Header"/>
        <w:jc w:val="center"/>
        <w:rPr>
          <w:rFonts w:ascii="Times New Roman" w:hAnsi="Times New Roman" w:cs="Times New Roman"/>
        </w:rPr>
      </w:pPr>
      <w:r w:rsidRPr="00090B32">
        <w:rPr>
          <w:rFonts w:ascii="Times New Roman" w:hAnsi="Times New Roman" w:cs="Times New Roman"/>
        </w:rPr>
        <w:t>August 9, 2018</w:t>
      </w:r>
    </w:p>
    <w:p w14:paraId="2D506134" w14:textId="77777777" w:rsidR="00600280" w:rsidRPr="00334DA3" w:rsidRDefault="00600280" w:rsidP="0060028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ADD54A" w14:textId="39ED5C4A" w:rsidR="00600280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>In order for effective interagency coordination and systems change to occur</w:t>
      </w:r>
      <w:r w:rsidR="00334DA3" w:rsidRPr="00334DA3">
        <w:rPr>
          <w:rFonts w:ascii="Times New Roman" w:hAnsi="Times New Roman" w:cs="Times New Roman"/>
        </w:rPr>
        <w:t>,</w:t>
      </w:r>
      <w:r w:rsidRPr="00334DA3">
        <w:rPr>
          <w:rFonts w:ascii="Times New Roman" w:hAnsi="Times New Roman" w:cs="Times New Roman"/>
        </w:rPr>
        <w:t xml:space="preserve"> decision makers from key agencies need to be present and engaged.</w:t>
      </w:r>
    </w:p>
    <w:p w14:paraId="56B50461" w14:textId="526AFB9D" w:rsidR="00754E3C" w:rsidRPr="00334DA3" w:rsidRDefault="00754E3C" w:rsidP="00754E3C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 xml:space="preserve">When all systems work together, they can achieve a “no wrong door” approach to seamless service delivery for job seekers including job seekers with disabilities. </w:t>
      </w:r>
    </w:p>
    <w:p w14:paraId="4ADC6A13" w14:textId="270333E1" w:rsidR="00600280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>MOUs are useful policy documents that help outline specific agency roles and responsibilities</w:t>
      </w:r>
      <w:r w:rsidR="0036288B" w:rsidRPr="00334DA3">
        <w:rPr>
          <w:rFonts w:ascii="Times New Roman" w:hAnsi="Times New Roman" w:cs="Times New Roman"/>
        </w:rPr>
        <w:t xml:space="preserve"> to achieve valued outcomes</w:t>
      </w:r>
      <w:r w:rsidRPr="00334DA3">
        <w:rPr>
          <w:rFonts w:ascii="Times New Roman" w:hAnsi="Times New Roman" w:cs="Times New Roman"/>
        </w:rPr>
        <w:t xml:space="preserve">. The document formalizes interagency coordination </w:t>
      </w:r>
      <w:r w:rsidR="00817EC4" w:rsidRPr="00334DA3">
        <w:rPr>
          <w:rFonts w:ascii="Times New Roman" w:hAnsi="Times New Roman" w:cs="Times New Roman"/>
        </w:rPr>
        <w:t xml:space="preserve">and </w:t>
      </w:r>
      <w:r w:rsidR="002C5A24" w:rsidRPr="00334DA3">
        <w:rPr>
          <w:rFonts w:ascii="Times New Roman" w:hAnsi="Times New Roman" w:cs="Times New Roman"/>
        </w:rPr>
        <w:t xml:space="preserve">assures </w:t>
      </w:r>
      <w:r w:rsidR="00817EC4" w:rsidRPr="00334DA3">
        <w:rPr>
          <w:rFonts w:ascii="Times New Roman" w:hAnsi="Times New Roman" w:cs="Times New Roman"/>
        </w:rPr>
        <w:t xml:space="preserve">uniformity and equity across the </w:t>
      </w:r>
      <w:r w:rsidR="002C5A24" w:rsidRPr="00334DA3">
        <w:rPr>
          <w:rFonts w:ascii="Times New Roman" w:hAnsi="Times New Roman" w:cs="Times New Roman"/>
        </w:rPr>
        <w:t>state and</w:t>
      </w:r>
      <w:r w:rsidRPr="00334DA3">
        <w:rPr>
          <w:rFonts w:ascii="Times New Roman" w:hAnsi="Times New Roman" w:cs="Times New Roman"/>
        </w:rPr>
        <w:t xml:space="preserve"> helps keep all partners engaged and accountable</w:t>
      </w:r>
      <w:r w:rsidR="00817EC4" w:rsidRPr="00334DA3">
        <w:rPr>
          <w:rFonts w:ascii="Times New Roman" w:hAnsi="Times New Roman" w:cs="Times New Roman"/>
        </w:rPr>
        <w:t xml:space="preserve"> so that no person falls “through the cracks”</w:t>
      </w:r>
      <w:r w:rsidRPr="00334DA3">
        <w:rPr>
          <w:rFonts w:ascii="Times New Roman" w:hAnsi="Times New Roman" w:cs="Times New Roman"/>
        </w:rPr>
        <w:t>; through EFSLMP</w:t>
      </w:r>
      <w:r w:rsidR="002C5A24" w:rsidRPr="00334DA3">
        <w:rPr>
          <w:rFonts w:ascii="Times New Roman" w:hAnsi="Times New Roman" w:cs="Times New Roman"/>
        </w:rPr>
        <w:t>,</w:t>
      </w:r>
      <w:r w:rsidR="00334DA3" w:rsidRPr="00334DA3">
        <w:rPr>
          <w:rFonts w:ascii="Times New Roman" w:hAnsi="Times New Roman" w:cs="Times New Roman"/>
        </w:rPr>
        <w:t xml:space="preserve"> dozens of multiagency</w:t>
      </w:r>
      <w:r w:rsidRPr="00334DA3">
        <w:rPr>
          <w:rFonts w:ascii="Times New Roman" w:hAnsi="Times New Roman" w:cs="Times New Roman"/>
        </w:rPr>
        <w:t xml:space="preserve"> MOUs have been developed.</w:t>
      </w:r>
    </w:p>
    <w:p w14:paraId="3F8D8867" w14:textId="72BB902F" w:rsidR="0036288B" w:rsidRPr="00334DA3" w:rsidRDefault="0036288B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>Money talks</w:t>
      </w:r>
      <w:r w:rsidR="00334DA3" w:rsidRPr="00334DA3">
        <w:rPr>
          <w:rFonts w:ascii="Times New Roman" w:hAnsi="Times New Roman" w:cs="Times New Roman"/>
        </w:rPr>
        <w:t>,</w:t>
      </w:r>
      <w:r w:rsidRPr="00334DA3">
        <w:rPr>
          <w:rFonts w:ascii="Times New Roman" w:hAnsi="Times New Roman" w:cs="Times New Roman"/>
        </w:rPr>
        <w:t xml:space="preserve"> and MOUs provide a gre</w:t>
      </w:r>
      <w:r w:rsidR="00090B32">
        <w:rPr>
          <w:rFonts w:ascii="Times New Roman" w:hAnsi="Times New Roman" w:cs="Times New Roman"/>
        </w:rPr>
        <w:t>at vehicle to demonstrate to</w:t>
      </w:r>
      <w:r w:rsidRPr="00334DA3">
        <w:rPr>
          <w:rFonts w:ascii="Times New Roman" w:hAnsi="Times New Roman" w:cs="Times New Roman"/>
        </w:rPr>
        <w:t xml:space="preserve"> taxpayer</w:t>
      </w:r>
      <w:r w:rsidR="00090B32">
        <w:rPr>
          <w:rFonts w:ascii="Times New Roman" w:hAnsi="Times New Roman" w:cs="Times New Roman"/>
        </w:rPr>
        <w:t>s that they</w:t>
      </w:r>
      <w:r w:rsidRPr="00334DA3">
        <w:rPr>
          <w:rFonts w:ascii="Times New Roman" w:hAnsi="Times New Roman" w:cs="Times New Roman"/>
        </w:rPr>
        <w:t xml:space="preserve"> receive a good return on their investment. </w:t>
      </w:r>
      <w:r w:rsidR="002C5A24" w:rsidRPr="00334DA3">
        <w:rPr>
          <w:rFonts w:ascii="Times New Roman" w:hAnsi="Times New Roman" w:cs="Times New Roman"/>
        </w:rPr>
        <w:t>A</w:t>
      </w:r>
      <w:r w:rsidRPr="00334DA3">
        <w:rPr>
          <w:rFonts w:ascii="Times New Roman" w:hAnsi="Times New Roman" w:cs="Times New Roman"/>
        </w:rPr>
        <w:t>nnual and biennial budgets often hinder state legislators</w:t>
      </w:r>
      <w:r w:rsidR="002C5A24" w:rsidRPr="00334DA3">
        <w:rPr>
          <w:rFonts w:ascii="Times New Roman" w:hAnsi="Times New Roman" w:cs="Times New Roman"/>
        </w:rPr>
        <w:t xml:space="preserve"> from looking at a good return on investment strategy over multiple years, which provides even greater motivation for MOUs and a unified state agency Employment First agenda with aggregate outcomes and impact to be shared with the legislature.</w:t>
      </w:r>
    </w:p>
    <w:p w14:paraId="04DE2DDA" w14:textId="01DE50AB" w:rsidR="00600280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 xml:space="preserve">ODEP has developed Vision Quest, a nine-month three-phased process that helps state teams develop multiple types of state policy and guidance including interagency MOUs, draft legislation, Executive Orders, and new rate structures under a state’s Home and Community Based </w:t>
      </w:r>
      <w:r w:rsidR="00334DA3" w:rsidRPr="00334DA3">
        <w:rPr>
          <w:rFonts w:ascii="Times New Roman" w:hAnsi="Times New Roman" w:cs="Times New Roman"/>
        </w:rPr>
        <w:t xml:space="preserve">Services </w:t>
      </w:r>
      <w:r w:rsidRPr="00334DA3">
        <w:rPr>
          <w:rFonts w:ascii="Times New Roman" w:hAnsi="Times New Roman" w:cs="Times New Roman"/>
        </w:rPr>
        <w:t xml:space="preserve">Medicaid waiver program.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40"/>
        <w:gridCol w:w="3600"/>
        <w:gridCol w:w="2790"/>
        <w:gridCol w:w="1890"/>
      </w:tblGrid>
      <w:tr w:rsidR="00334DA3" w:rsidRPr="00334DA3" w14:paraId="20324583" w14:textId="77777777" w:rsidTr="00334DA3">
        <w:trPr>
          <w:trHeight w:val="242"/>
        </w:trPr>
        <w:tc>
          <w:tcPr>
            <w:tcW w:w="1440" w:type="dxa"/>
          </w:tcPr>
          <w:p w14:paraId="5A91BA98" w14:textId="77777777" w:rsidR="00600280" w:rsidRPr="00334DA3" w:rsidRDefault="00600280" w:rsidP="00600280">
            <w:pPr>
              <w:rPr>
                <w:rFonts w:ascii="Times New Roman" w:hAnsi="Times New Roman" w:cs="Times New Roman"/>
              </w:rPr>
            </w:pPr>
            <w:r w:rsidRPr="00334DA3">
              <w:rPr>
                <w:rFonts w:ascii="Times New Roman" w:hAnsi="Times New Roman" w:cs="Times New Roman"/>
              </w:rPr>
              <w:t>VQ Phase #</w:t>
            </w:r>
          </w:p>
        </w:tc>
        <w:tc>
          <w:tcPr>
            <w:tcW w:w="3600" w:type="dxa"/>
          </w:tcPr>
          <w:p w14:paraId="23B02E1D" w14:textId="77777777" w:rsidR="00600280" w:rsidRPr="00334DA3" w:rsidRDefault="00600280" w:rsidP="00600280">
            <w:pPr>
              <w:rPr>
                <w:rFonts w:ascii="Times New Roman" w:hAnsi="Times New Roman" w:cs="Times New Roman"/>
                <w:b/>
              </w:rPr>
            </w:pPr>
            <w:r w:rsidRPr="00334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0" w:type="dxa"/>
          </w:tcPr>
          <w:p w14:paraId="38E5E0A8" w14:textId="77777777" w:rsidR="00600280" w:rsidRPr="00334DA3" w:rsidRDefault="00600280" w:rsidP="00600280">
            <w:pPr>
              <w:rPr>
                <w:rFonts w:ascii="Times New Roman" w:hAnsi="Times New Roman" w:cs="Times New Roman"/>
                <w:b/>
              </w:rPr>
            </w:pPr>
            <w:r w:rsidRPr="00334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</w:tcPr>
          <w:p w14:paraId="65E869DE" w14:textId="77777777" w:rsidR="00600280" w:rsidRPr="00334DA3" w:rsidRDefault="00600280" w:rsidP="00600280">
            <w:pPr>
              <w:rPr>
                <w:rFonts w:ascii="Times New Roman" w:hAnsi="Times New Roman" w:cs="Times New Roman"/>
                <w:b/>
              </w:rPr>
            </w:pPr>
            <w:r w:rsidRPr="00334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4DA3" w:rsidRPr="00334DA3" w14:paraId="54334A33" w14:textId="77777777" w:rsidTr="00334DA3">
        <w:tc>
          <w:tcPr>
            <w:tcW w:w="1440" w:type="dxa"/>
          </w:tcPr>
          <w:p w14:paraId="43A18097" w14:textId="77777777" w:rsidR="00600280" w:rsidRPr="00334DA3" w:rsidRDefault="00600280" w:rsidP="00600280">
            <w:pPr>
              <w:rPr>
                <w:rFonts w:ascii="Times New Roman" w:hAnsi="Times New Roman" w:cs="Times New Roman"/>
                <w:b/>
              </w:rPr>
            </w:pPr>
            <w:r w:rsidRPr="00334DA3">
              <w:rPr>
                <w:rFonts w:ascii="Times New Roman" w:hAnsi="Times New Roman" w:cs="Times New Roman"/>
                <w:b/>
              </w:rPr>
              <w:t>SME Actions</w:t>
            </w:r>
          </w:p>
        </w:tc>
        <w:tc>
          <w:tcPr>
            <w:tcW w:w="3600" w:type="dxa"/>
          </w:tcPr>
          <w:p w14:paraId="25CEFE11" w14:textId="77777777" w:rsidR="00600280" w:rsidRPr="00334DA3" w:rsidRDefault="00600280" w:rsidP="00600280">
            <w:pPr>
              <w:rPr>
                <w:rFonts w:ascii="Times New Roman" w:hAnsi="Times New Roman" w:cs="Times New Roman"/>
              </w:rPr>
            </w:pPr>
            <w:r w:rsidRPr="00334DA3">
              <w:rPr>
                <w:rFonts w:ascii="Times New Roman" w:hAnsi="Times New Roman" w:cs="Times New Roman"/>
              </w:rPr>
              <w:t xml:space="preserve">Assessment of existing policies and policy recommendations </w:t>
            </w:r>
          </w:p>
        </w:tc>
        <w:tc>
          <w:tcPr>
            <w:tcW w:w="2790" w:type="dxa"/>
          </w:tcPr>
          <w:p w14:paraId="10F5AA85" w14:textId="77777777" w:rsidR="00600280" w:rsidRPr="00334DA3" w:rsidRDefault="00600280" w:rsidP="00600280">
            <w:pPr>
              <w:rPr>
                <w:rFonts w:ascii="Times New Roman" w:hAnsi="Times New Roman" w:cs="Times New Roman"/>
              </w:rPr>
            </w:pPr>
            <w:r w:rsidRPr="00334DA3">
              <w:rPr>
                <w:rFonts w:ascii="Times New Roman" w:hAnsi="Times New Roman" w:cs="Times New Roman"/>
              </w:rPr>
              <w:t>Development of Policy</w:t>
            </w:r>
          </w:p>
        </w:tc>
        <w:tc>
          <w:tcPr>
            <w:tcW w:w="1890" w:type="dxa"/>
          </w:tcPr>
          <w:p w14:paraId="3B9B69B6" w14:textId="77777777" w:rsidR="00600280" w:rsidRPr="00334DA3" w:rsidRDefault="00600280" w:rsidP="00600280">
            <w:pPr>
              <w:rPr>
                <w:rFonts w:ascii="Times New Roman" w:hAnsi="Times New Roman" w:cs="Times New Roman"/>
              </w:rPr>
            </w:pPr>
            <w:r w:rsidRPr="00334DA3">
              <w:rPr>
                <w:rFonts w:ascii="Times New Roman" w:hAnsi="Times New Roman" w:cs="Times New Roman"/>
              </w:rPr>
              <w:t>Policy Implementation</w:t>
            </w:r>
          </w:p>
        </w:tc>
      </w:tr>
    </w:tbl>
    <w:p w14:paraId="4EB2739F" w14:textId="77777777" w:rsidR="00600280" w:rsidRPr="00334DA3" w:rsidRDefault="00600280" w:rsidP="00600280">
      <w:pPr>
        <w:rPr>
          <w:rFonts w:ascii="Times New Roman" w:hAnsi="Times New Roman" w:cs="Times New Roman"/>
        </w:rPr>
      </w:pPr>
    </w:p>
    <w:p w14:paraId="2F0A8696" w14:textId="4E8DC0FF" w:rsidR="00600280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 xml:space="preserve">Collecting </w:t>
      </w:r>
      <w:r w:rsidR="00817EC4" w:rsidRPr="00334DA3">
        <w:rPr>
          <w:rFonts w:ascii="Times New Roman" w:hAnsi="Times New Roman" w:cs="Times New Roman"/>
        </w:rPr>
        <w:t xml:space="preserve">essential </w:t>
      </w:r>
      <w:r w:rsidRPr="00334DA3">
        <w:rPr>
          <w:rFonts w:ascii="Times New Roman" w:hAnsi="Times New Roman" w:cs="Times New Roman"/>
        </w:rPr>
        <w:t>data</w:t>
      </w:r>
      <w:r w:rsidR="00817EC4" w:rsidRPr="00334DA3">
        <w:rPr>
          <w:rFonts w:ascii="Times New Roman" w:hAnsi="Times New Roman" w:cs="Times New Roman"/>
        </w:rPr>
        <w:t xml:space="preserve"> sets across multiple agencies and systems</w:t>
      </w:r>
      <w:r w:rsidR="00334DA3" w:rsidRPr="00334DA3">
        <w:rPr>
          <w:rFonts w:ascii="Times New Roman" w:hAnsi="Times New Roman" w:cs="Times New Roman"/>
        </w:rPr>
        <w:t xml:space="preserve"> helps</w:t>
      </w:r>
      <w:r w:rsidRPr="00334DA3">
        <w:rPr>
          <w:rFonts w:ascii="Times New Roman" w:hAnsi="Times New Roman" w:cs="Times New Roman"/>
        </w:rPr>
        <w:t xml:space="preserve"> states develop a baseline for which they can track progress or lack thereof with respect to results</w:t>
      </w:r>
      <w:r w:rsidR="002C5A24" w:rsidRPr="00334DA3">
        <w:rPr>
          <w:rFonts w:ascii="Times New Roman" w:hAnsi="Times New Roman" w:cs="Times New Roman"/>
        </w:rPr>
        <w:t xml:space="preserve"> and outcome rather than outputs</w:t>
      </w:r>
      <w:r w:rsidRPr="00334DA3">
        <w:rPr>
          <w:rFonts w:ascii="Times New Roman" w:hAnsi="Times New Roman" w:cs="Times New Roman"/>
        </w:rPr>
        <w:t>. A</w:t>
      </w:r>
      <w:r w:rsidR="002C5A24" w:rsidRPr="00334DA3">
        <w:rPr>
          <w:rFonts w:ascii="Times New Roman" w:hAnsi="Times New Roman" w:cs="Times New Roman"/>
        </w:rPr>
        <w:t xml:space="preserve"> collaborative state Employment First </w:t>
      </w:r>
      <w:r w:rsidRPr="00334DA3">
        <w:rPr>
          <w:rFonts w:ascii="Times New Roman" w:hAnsi="Times New Roman" w:cs="Times New Roman"/>
        </w:rPr>
        <w:t>data collection processes can be orchestrated by a multiagency MOU.</w:t>
      </w:r>
    </w:p>
    <w:p w14:paraId="48FD3D25" w14:textId="2BA3E581" w:rsidR="00754E3C" w:rsidRPr="00334DA3" w:rsidRDefault="00754E3C" w:rsidP="00754E3C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>On-going meetings and communication opportunities for diverse interagency stakeholders coupled with multiple mixed-media information sharing pathways are essential elements of robust interagency coordination and knowledge translation. These opportunities and information dissemination efforts extend beyond MOU creation and allow for strategic problem-solving and real-time assessment of qualitative and quantitative data associated with systems change during the implementation stage.</w:t>
      </w:r>
    </w:p>
    <w:p w14:paraId="41D9EA94" w14:textId="490DB426" w:rsidR="00600280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>American Job Centers, with support of other state agencies (</w:t>
      </w:r>
      <w:r w:rsidR="00334DA3" w:rsidRPr="00334DA3">
        <w:rPr>
          <w:rFonts w:ascii="Times New Roman" w:hAnsi="Times New Roman" w:cs="Times New Roman"/>
        </w:rPr>
        <w:t>i.e. through braided</w:t>
      </w:r>
      <w:r w:rsidRPr="00334DA3">
        <w:rPr>
          <w:rFonts w:ascii="Times New Roman" w:hAnsi="Times New Roman" w:cs="Times New Roman"/>
        </w:rPr>
        <w:t xml:space="preserve"> funding) can utilize customized employment as a strategy to help individuals with disabilities obtain competitive integrated employment.</w:t>
      </w:r>
    </w:p>
    <w:p w14:paraId="6009118C" w14:textId="77777777" w:rsidR="00600280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>ODEP will be releasing an MOU Guide by September 1, 2018 outlining the steps to developing interagency MOUs and providing examples of effective MOUs developed through Vision Quest.</w:t>
      </w:r>
    </w:p>
    <w:p w14:paraId="56F30345" w14:textId="4D8427DF" w:rsidR="00D21DE2" w:rsidRPr="00334DA3" w:rsidRDefault="00600280" w:rsidP="0060028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34DA3">
        <w:rPr>
          <w:rFonts w:ascii="Times New Roman" w:hAnsi="Times New Roman" w:cs="Times New Roman"/>
        </w:rPr>
        <w:t xml:space="preserve">The </w:t>
      </w:r>
      <w:hyperlink r:id="rId7" w:history="1">
        <w:r w:rsidRPr="00090B32">
          <w:rPr>
            <w:rStyle w:val="Hyperlink"/>
            <w:rFonts w:ascii="Times New Roman" w:hAnsi="Times New Roman" w:cs="Times New Roman"/>
            <w:color w:val="0000FF"/>
          </w:rPr>
          <w:t>Data and Resources to Inspire a Vision of Employment</w:t>
        </w:r>
      </w:hyperlink>
      <w:r w:rsidRPr="00090B32">
        <w:rPr>
          <w:rFonts w:ascii="Times New Roman" w:hAnsi="Times New Roman" w:cs="Times New Roman"/>
          <w:color w:val="0000FF"/>
        </w:rPr>
        <w:t xml:space="preserve"> </w:t>
      </w:r>
      <w:r w:rsidRPr="00294FCB">
        <w:rPr>
          <w:rFonts w:ascii="Times New Roman" w:hAnsi="Times New Roman" w:cs="Times New Roman"/>
        </w:rPr>
        <w:t>(</w:t>
      </w:r>
      <w:r w:rsidRPr="00334DA3">
        <w:rPr>
          <w:rFonts w:ascii="Times New Roman" w:hAnsi="Times New Roman" w:cs="Times New Roman"/>
        </w:rPr>
        <w:t>DRIVE</w:t>
      </w:r>
      <w:r w:rsidR="00334DA3" w:rsidRPr="00334DA3">
        <w:rPr>
          <w:rFonts w:ascii="Times New Roman" w:hAnsi="Times New Roman" w:cs="Times New Roman"/>
        </w:rPr>
        <w:t xml:space="preserve">) Website </w:t>
      </w:r>
      <w:r w:rsidRPr="00334DA3">
        <w:rPr>
          <w:rFonts w:ascii="Times New Roman" w:hAnsi="Times New Roman" w:cs="Times New Roman"/>
        </w:rPr>
        <w:t>has a hub of statistics (both national and state-level) about people with disabilities in various systems such as Workforce Development, Mental Health, Vocational Rehabilitation and Education. Additional</w:t>
      </w:r>
      <w:bookmarkStart w:id="0" w:name="_GoBack"/>
      <w:bookmarkEnd w:id="0"/>
      <w:r w:rsidRPr="00334DA3">
        <w:rPr>
          <w:rFonts w:ascii="Times New Roman" w:hAnsi="Times New Roman" w:cs="Times New Roman"/>
        </w:rPr>
        <w:t xml:space="preserve">ly, DRIVE posts all state policies relevant to disability employment and allows users to compare state statistics and policies side-by-side; information gathered from DRIVE can assist states as they apply for grants or other sources of funding to help their Employment First efforts.  </w:t>
      </w:r>
    </w:p>
    <w:sectPr w:rsidR="00D21DE2" w:rsidRPr="00334DA3" w:rsidSect="00090B32">
      <w:headerReference w:type="default" r:id="rId8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A003" w14:textId="77777777" w:rsidR="00774A60" w:rsidRDefault="00774A60" w:rsidP="00D1006B">
      <w:pPr>
        <w:spacing w:after="0" w:line="240" w:lineRule="auto"/>
      </w:pPr>
      <w:r>
        <w:separator/>
      </w:r>
    </w:p>
  </w:endnote>
  <w:endnote w:type="continuationSeparator" w:id="0">
    <w:p w14:paraId="090A9B32" w14:textId="77777777" w:rsidR="00774A60" w:rsidRDefault="00774A60" w:rsidP="00D1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7EF6" w14:textId="77777777" w:rsidR="00774A60" w:rsidRDefault="00774A60" w:rsidP="00D1006B">
      <w:pPr>
        <w:spacing w:after="0" w:line="240" w:lineRule="auto"/>
      </w:pPr>
      <w:r>
        <w:separator/>
      </w:r>
    </w:p>
  </w:footnote>
  <w:footnote w:type="continuationSeparator" w:id="0">
    <w:p w14:paraId="2DE9E127" w14:textId="77777777" w:rsidR="00774A60" w:rsidRDefault="00774A60" w:rsidP="00D1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16E3" w14:textId="77777777" w:rsidR="00D1006B" w:rsidRDefault="00D1006B" w:rsidP="00D1006B">
    <w:pPr>
      <w:pStyle w:val="Header"/>
      <w:jc w:val="center"/>
    </w:pPr>
    <w:r>
      <w:rPr>
        <w:noProof/>
      </w:rPr>
      <w:drawing>
        <wp:inline distT="0" distB="0" distL="0" distR="0" wp14:anchorId="1115C740" wp14:editId="0B898BB0">
          <wp:extent cx="1666875" cy="44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422" cy="447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611"/>
    <w:multiLevelType w:val="hybridMultilevel"/>
    <w:tmpl w:val="65F8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0787"/>
    <w:multiLevelType w:val="hybridMultilevel"/>
    <w:tmpl w:val="FB2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80"/>
    <w:rsid w:val="00090B32"/>
    <w:rsid w:val="00265460"/>
    <w:rsid w:val="00294FCB"/>
    <w:rsid w:val="002C5A24"/>
    <w:rsid w:val="00334DA3"/>
    <w:rsid w:val="0036288B"/>
    <w:rsid w:val="00600280"/>
    <w:rsid w:val="00646E05"/>
    <w:rsid w:val="00754E3C"/>
    <w:rsid w:val="00774A60"/>
    <w:rsid w:val="00817EC4"/>
    <w:rsid w:val="0085547C"/>
    <w:rsid w:val="00D1006B"/>
    <w:rsid w:val="00D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0091"/>
  <w15:chartTrackingRefBased/>
  <w15:docId w15:val="{6675BFA8-DD5C-42ED-94C0-C7DE7658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80"/>
  </w:style>
  <w:style w:type="paragraph" w:styleId="BalloonText">
    <w:name w:val="Balloon Text"/>
    <w:basedOn w:val="Normal"/>
    <w:link w:val="BalloonTextChar"/>
    <w:uiPriority w:val="99"/>
    <w:semiHidden/>
    <w:unhideWhenUsed/>
    <w:rsid w:val="0060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8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6B"/>
  </w:style>
  <w:style w:type="character" w:styleId="Hyperlink">
    <w:name w:val="Hyperlink"/>
    <w:basedOn w:val="DefaultParagraphFont"/>
    <w:uiPriority w:val="99"/>
    <w:unhideWhenUsed/>
    <w:rsid w:val="00334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ivedisabilityemployme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Rose M - ODEP</dc:creator>
  <cp:keywords/>
  <dc:description/>
  <cp:lastModifiedBy>Warner, Rose M - ODEP</cp:lastModifiedBy>
  <cp:revision>2</cp:revision>
  <cp:lastPrinted>2018-07-27T16:15:00Z</cp:lastPrinted>
  <dcterms:created xsi:type="dcterms:W3CDTF">2018-08-03T12:50:00Z</dcterms:created>
  <dcterms:modified xsi:type="dcterms:W3CDTF">2018-08-03T12:50:00Z</dcterms:modified>
</cp:coreProperties>
</file>