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68B5" w14:textId="01A0D23B" w:rsidR="003D5B8A" w:rsidRPr="00024F80" w:rsidRDefault="003D5B8A" w:rsidP="003D5B8A">
      <w:pPr>
        <w:jc w:val="center"/>
        <w:rPr>
          <w:b/>
          <w:bCs/>
          <w:color w:val="0070C0"/>
          <w:sz w:val="32"/>
          <w:szCs w:val="32"/>
        </w:rPr>
      </w:pPr>
      <w:r w:rsidRPr="00024F80">
        <w:rPr>
          <w:b/>
          <w:bCs/>
          <w:color w:val="0070C0"/>
          <w:sz w:val="32"/>
          <w:szCs w:val="32"/>
        </w:rPr>
        <w:t xml:space="preserve">PATHWAY HOME </w:t>
      </w:r>
      <w:r w:rsidR="00270649" w:rsidRPr="00024F80">
        <w:rPr>
          <w:b/>
          <w:bCs/>
          <w:color w:val="0070C0"/>
          <w:sz w:val="32"/>
          <w:szCs w:val="32"/>
        </w:rPr>
        <w:t>6</w:t>
      </w:r>
    </w:p>
    <w:p w14:paraId="463F77B3" w14:textId="77777777" w:rsidR="003D5B8A" w:rsidRPr="008714DF" w:rsidRDefault="003D5B8A" w:rsidP="009F48F4">
      <w:pPr>
        <w:pStyle w:val="Heading1"/>
        <w:rPr>
          <w:b/>
          <w:bCs/>
          <w:color w:val="538135" w:themeColor="accent6" w:themeShade="BF"/>
          <w:sz w:val="28"/>
          <w:szCs w:val="28"/>
        </w:rPr>
      </w:pPr>
      <w:bookmarkStart w:id="0" w:name="_Toc219121419"/>
      <w:r w:rsidRPr="008714DF">
        <w:rPr>
          <w:b/>
          <w:bCs/>
          <w:color w:val="538135" w:themeColor="accent6" w:themeShade="BF"/>
          <w:sz w:val="28"/>
          <w:szCs w:val="28"/>
        </w:rPr>
        <w:t>Overview</w:t>
      </w:r>
      <w:bookmarkEnd w:id="0"/>
      <w:r w:rsidRPr="008714DF">
        <w:rPr>
          <w:b/>
          <w:bCs/>
          <w:color w:val="538135" w:themeColor="accent6" w:themeShade="BF"/>
          <w:sz w:val="28"/>
          <w:szCs w:val="28"/>
        </w:rPr>
        <w:t xml:space="preserve"> </w:t>
      </w:r>
    </w:p>
    <w:p w14:paraId="632F3B61" w14:textId="4B4A566A" w:rsidR="003D5B8A" w:rsidRDefault="003D5B8A" w:rsidP="003D5B8A">
      <w:pPr>
        <w:spacing w:after="0" w:line="240" w:lineRule="auto"/>
      </w:pPr>
      <w:r>
        <w:t xml:space="preserve">On June </w:t>
      </w:r>
      <w:r w:rsidR="0001261E">
        <w:t>26</w:t>
      </w:r>
      <w:r>
        <w:t>, 202</w:t>
      </w:r>
      <w:r w:rsidR="0001261E">
        <w:t>5</w:t>
      </w:r>
      <w:r>
        <w:t>, the Department of Labor awarded 1</w:t>
      </w:r>
      <w:r w:rsidR="00DB7DA4">
        <w:t>6</w:t>
      </w:r>
      <w:r>
        <w:t xml:space="preserve"> organizations grants totaling $</w:t>
      </w:r>
      <w:r w:rsidR="4383DB50">
        <w:t>5</w:t>
      </w:r>
      <w:r w:rsidR="00DB7DA4">
        <w:t>5,878,658</w:t>
      </w:r>
    </w:p>
    <w:p w14:paraId="2AA360BB" w14:textId="4311C789" w:rsidR="003D5B8A" w:rsidRDefault="00FF1567" w:rsidP="003D5B8A">
      <w:pPr>
        <w:spacing w:after="0" w:line="240" w:lineRule="auto"/>
      </w:pPr>
      <w:r>
        <w:t xml:space="preserve"> </w:t>
      </w:r>
      <w:r w:rsidR="003D5B8A">
        <w:t xml:space="preserve">for the Pathway Home </w:t>
      </w:r>
      <w:r w:rsidR="0001261E">
        <w:t>6</w:t>
      </w:r>
      <w:r w:rsidR="003D5B8A">
        <w:t xml:space="preserve"> </w:t>
      </w:r>
      <w:r w:rsidR="0002129E">
        <w:t xml:space="preserve">(PH6) </w:t>
      </w:r>
      <w:r w:rsidR="003D5B8A">
        <w:t xml:space="preserve">grant program. </w:t>
      </w:r>
    </w:p>
    <w:p w14:paraId="27D672E4" w14:textId="77777777" w:rsidR="003D5B8A" w:rsidRDefault="003D5B8A" w:rsidP="003D5B8A">
      <w:pPr>
        <w:spacing w:after="0" w:line="240" w:lineRule="auto"/>
      </w:pPr>
    </w:p>
    <w:p w14:paraId="09967ACE" w14:textId="2F231A06" w:rsidR="00852690" w:rsidRDefault="00852690" w:rsidP="003D5B8A">
      <w:pPr>
        <w:spacing w:after="0" w:line="240" w:lineRule="auto"/>
      </w:pPr>
      <w:r w:rsidRPr="00852690">
        <w:t xml:space="preserve">The purpose of this program is to provide eligible incarcerated individuals in men’s and women’s state correctional facilities or local or county jails with workforce services prior to release and to continue comprehensive services after release by transitioning the participants into reentry programs in the communities to which they will return. </w:t>
      </w:r>
      <w:r w:rsidR="00D331B7">
        <w:t xml:space="preserve"> </w:t>
      </w:r>
      <w:r>
        <w:t xml:space="preserve">By providing reentry services to participants while they are still incarcerated and post-release from incarceration, these projects are designed to eliminate the time gap between release from prison and enrollment into a reentry program leading to employment. </w:t>
      </w:r>
      <w:r w:rsidR="00D331B7">
        <w:t xml:space="preserve"> </w:t>
      </w:r>
      <w:r w:rsidRPr="00852690">
        <w:t>These grants are job-driven and build connections to local employers that will enable returning citizens to secure employment.</w:t>
      </w:r>
      <w:r>
        <w:t xml:space="preserve"> </w:t>
      </w:r>
    </w:p>
    <w:p w14:paraId="1A06BDC0" w14:textId="77777777" w:rsidR="00852690" w:rsidRDefault="00852690" w:rsidP="003D5B8A">
      <w:pPr>
        <w:spacing w:after="0" w:line="240" w:lineRule="auto"/>
      </w:pPr>
    </w:p>
    <w:p w14:paraId="2EA5F7E5" w14:textId="4BC3C1B2" w:rsidR="00852690" w:rsidRDefault="00852690" w:rsidP="003D5B8A">
      <w:pPr>
        <w:spacing w:after="0" w:line="240" w:lineRule="auto"/>
      </w:pPr>
      <w:r w:rsidRPr="00852690">
        <w:t>Due to the complex nature of this grant</w:t>
      </w:r>
      <w:r w:rsidR="00BD16B5">
        <w:t xml:space="preserve"> program</w:t>
      </w:r>
      <w:r w:rsidRPr="00852690">
        <w:t xml:space="preserve">, </w:t>
      </w:r>
      <w:r w:rsidR="00BD16B5">
        <w:t>PH</w:t>
      </w:r>
      <w:r w:rsidR="00D331B7">
        <w:t>6</w:t>
      </w:r>
      <w:r w:rsidR="00BD16B5">
        <w:t xml:space="preserve"> grantees </w:t>
      </w:r>
      <w:r w:rsidRPr="00852690">
        <w:t>are required to employ one full-time staff person with 100% of their time dedicated to the grant as the program manager/director of the project.</w:t>
      </w:r>
    </w:p>
    <w:p w14:paraId="680C62D1" w14:textId="77777777" w:rsidR="00852690" w:rsidRDefault="00852690" w:rsidP="003D5B8A">
      <w:pPr>
        <w:spacing w:after="0" w:line="240" w:lineRule="auto"/>
      </w:pPr>
    </w:p>
    <w:p w14:paraId="0385A3E2" w14:textId="27F4F263" w:rsidR="003D5B8A" w:rsidRDefault="003D5B8A" w:rsidP="003D5B8A">
      <w:pPr>
        <w:spacing w:after="0" w:line="240" w:lineRule="auto"/>
      </w:pPr>
      <w:r>
        <w:t xml:space="preserve">Pre-release services will assist inmates, who enter the program within 20 to 270 days from their scheduled release date, to prepare for returning to their communities. </w:t>
      </w:r>
      <w:r w:rsidR="007838A9">
        <w:t xml:space="preserve"> </w:t>
      </w:r>
      <w:r>
        <w:t xml:space="preserve">Pre-release services must </w:t>
      </w:r>
    </w:p>
    <w:p w14:paraId="62F995E1" w14:textId="770AEF80" w:rsidR="003D5B8A" w:rsidRDefault="00471D45" w:rsidP="003D5B8A">
      <w:pPr>
        <w:spacing w:after="0" w:line="240" w:lineRule="auto"/>
      </w:pPr>
      <w:r>
        <w:t>I</w:t>
      </w:r>
      <w:r w:rsidR="003D5B8A">
        <w:t>nclude</w:t>
      </w:r>
      <w:r>
        <w:t>:</w:t>
      </w:r>
      <w:r w:rsidR="003D5B8A">
        <w:t xml:space="preserve"> job preparation</w:t>
      </w:r>
      <w:r>
        <w:t>;</w:t>
      </w:r>
      <w:r w:rsidR="003D5B8A">
        <w:t xml:space="preserve"> </w:t>
      </w:r>
      <w:r w:rsidR="006647AA">
        <w:t>comprehensive case management</w:t>
      </w:r>
      <w:r>
        <w:t>;</w:t>
      </w:r>
      <w:r w:rsidR="006647AA">
        <w:t xml:space="preserve"> </w:t>
      </w:r>
      <w:r w:rsidR="003D5B8A">
        <w:t xml:space="preserve">individual development plans (IDPs) that </w:t>
      </w:r>
      <w:r>
        <w:t xml:space="preserve">use state and local labor market information and </w:t>
      </w:r>
      <w:r w:rsidR="003D5B8A">
        <w:t>identify assistance needed for employment</w:t>
      </w:r>
      <w:r>
        <w:t>;</w:t>
      </w:r>
      <w:r w:rsidR="006666FF">
        <w:t xml:space="preserve"> needs assessments;</w:t>
      </w:r>
      <w:r w:rsidR="003D5B8A">
        <w:t xml:space="preserve"> career exploration and planning</w:t>
      </w:r>
      <w:r w:rsidR="006666FF">
        <w:t>;</w:t>
      </w:r>
      <w:r w:rsidR="003D5B8A">
        <w:t xml:space="preserve"> assistance obtaining state identification required for employment</w:t>
      </w:r>
      <w:r w:rsidR="006666FF">
        <w:t>; trauma-informed care; mental health and academic counseling;</w:t>
      </w:r>
      <w:r w:rsidR="003D5B8A">
        <w:t xml:space="preserve"> and </w:t>
      </w:r>
      <w:r w:rsidR="00A713EE">
        <w:t>referrals</w:t>
      </w:r>
      <w:r w:rsidR="003D5B8A">
        <w:t xml:space="preserve"> </w:t>
      </w:r>
      <w:r w:rsidR="00A713EE">
        <w:t>to the legal and</w:t>
      </w:r>
      <w:r w:rsidR="003D5B8A">
        <w:t xml:space="preserve"> social services required to help them transition back to their communities. </w:t>
      </w:r>
      <w:r w:rsidR="007838A9">
        <w:t xml:space="preserve"> </w:t>
      </w:r>
      <w:r w:rsidR="003D5B8A">
        <w:t xml:space="preserve">Pre-release occupational training is highly encouraged. </w:t>
      </w:r>
      <w:r w:rsidR="007838A9">
        <w:t xml:space="preserve"> </w:t>
      </w:r>
      <w:r w:rsidR="003D5B8A">
        <w:t>Post-release activities must include</w:t>
      </w:r>
      <w:r w:rsidR="00016DA7">
        <w:t>: the development and execution of a plan for the first 72 hours of transition post-release;</w:t>
      </w:r>
      <w:r w:rsidR="003D5B8A">
        <w:t xml:space="preserve"> </w:t>
      </w:r>
      <w:r w:rsidR="00B123B5">
        <w:t xml:space="preserve">and </w:t>
      </w:r>
      <w:r w:rsidR="003D5B8A">
        <w:t xml:space="preserve">skill-building services, such as </w:t>
      </w:r>
      <w:r w:rsidR="00016DA7">
        <w:t xml:space="preserve">registered </w:t>
      </w:r>
      <w:r w:rsidR="003D5B8A">
        <w:t xml:space="preserve">apprenticeships and occupational training in in-demand industries that lead to industry-recognized credentials. </w:t>
      </w:r>
    </w:p>
    <w:p w14:paraId="58AAB326" w14:textId="77777777" w:rsidR="003D5B8A" w:rsidRDefault="003D5B8A" w:rsidP="003D5B8A">
      <w:pPr>
        <w:spacing w:after="0" w:line="240" w:lineRule="auto"/>
      </w:pPr>
    </w:p>
    <w:p w14:paraId="33C589AB" w14:textId="7389A5A1" w:rsidR="00893CA3" w:rsidRDefault="00893CA3" w:rsidP="003D5B8A">
      <w:pPr>
        <w:spacing w:after="0" w:line="240" w:lineRule="auto"/>
      </w:pPr>
      <w:r w:rsidRPr="00893CA3">
        <w:t xml:space="preserve">Pre-release and post-release service delivery is challenging to provide to people transitioning from a correctional institution to the community. </w:t>
      </w:r>
      <w:r w:rsidR="007838A9">
        <w:t xml:space="preserve"> </w:t>
      </w:r>
      <w:r w:rsidRPr="00893CA3">
        <w:t>Yet, service delivery in both contexts remains critical to the overall success of the enrolled participants and to reduce the likelihood of recidivism.  By teaching participants foundational skills such as job readiness, employability, and job search strategies, in addition to providing apprenticeships and occupational training, partners will work to increase the employment opportunities for participants post</w:t>
      </w:r>
      <w:r w:rsidR="00B5749F">
        <w:t>-</w:t>
      </w:r>
      <w:r w:rsidRPr="00893CA3">
        <w:t>release, particularly in industry sectors facing increased demand, workforce gaps, or supply chain challenges.</w:t>
      </w:r>
    </w:p>
    <w:p w14:paraId="5D9C405D" w14:textId="77777777" w:rsidR="00893CA3" w:rsidRDefault="00893CA3" w:rsidP="003D5B8A">
      <w:pPr>
        <w:spacing w:after="0" w:line="240" w:lineRule="auto"/>
      </w:pPr>
    </w:p>
    <w:p w14:paraId="147445F0" w14:textId="1E28EF66" w:rsidR="003D5B8A" w:rsidRPr="009F248D" w:rsidRDefault="003D5B8A" w:rsidP="003D5B8A">
      <w:pPr>
        <w:spacing w:after="0" w:line="240" w:lineRule="auto"/>
        <w:rPr>
          <w:b/>
          <w:bCs/>
        </w:rPr>
      </w:pPr>
      <w:r w:rsidRPr="009F248D">
        <w:rPr>
          <w:b/>
          <w:bCs/>
        </w:rPr>
        <w:t>Award Summary</w:t>
      </w:r>
      <w:r w:rsidR="009F248D" w:rsidRPr="009F248D">
        <w:rPr>
          <w:b/>
          <w:bCs/>
        </w:rPr>
        <w:t>:</w:t>
      </w:r>
      <w:r w:rsidRPr="009F248D">
        <w:rPr>
          <w:b/>
          <w:bCs/>
        </w:rPr>
        <w:t xml:space="preserve"> </w:t>
      </w:r>
      <w:r w:rsidR="009F248D">
        <w:rPr>
          <w:b/>
          <w:bCs/>
        </w:rPr>
        <w:br/>
      </w:r>
    </w:p>
    <w:p w14:paraId="4BABB31F" w14:textId="66787855" w:rsidR="003D5B8A" w:rsidRDefault="003D5B8A" w:rsidP="003D5B8A">
      <w:pPr>
        <w:spacing w:after="0" w:line="240" w:lineRule="auto"/>
      </w:pPr>
      <w:r>
        <w:t>▪ $</w:t>
      </w:r>
      <w:r w:rsidR="00AB3C16">
        <w:t>5</w:t>
      </w:r>
      <w:r w:rsidR="00DB7DA4">
        <w:t>5</w:t>
      </w:r>
      <w:r w:rsidR="00AB3C16">
        <w:t>,8</w:t>
      </w:r>
      <w:r w:rsidR="0E40EA85">
        <w:t>78</w:t>
      </w:r>
      <w:r w:rsidR="00AB3C16">
        <w:t>,</w:t>
      </w:r>
      <w:r w:rsidR="764D72BD">
        <w:t>6</w:t>
      </w:r>
      <w:r w:rsidR="00AB3C16">
        <w:t>5</w:t>
      </w:r>
      <w:r w:rsidR="7345C1D5">
        <w:t>8</w:t>
      </w:r>
      <w:r w:rsidR="00AB3C16">
        <w:t xml:space="preserve"> </w:t>
      </w:r>
      <w:r>
        <w:t xml:space="preserve">in Pathway Home </w:t>
      </w:r>
      <w:r w:rsidR="00AB3C16">
        <w:t>6</w:t>
      </w:r>
      <w:r>
        <w:t xml:space="preserve"> funds awarded</w:t>
      </w:r>
    </w:p>
    <w:p w14:paraId="1503892D" w14:textId="60D3996A" w:rsidR="003D5B8A" w:rsidRDefault="003D5B8A" w:rsidP="003D5B8A">
      <w:pPr>
        <w:spacing w:after="0" w:line="240" w:lineRule="auto"/>
      </w:pPr>
      <w:r>
        <w:t>▪ Awards range from $</w:t>
      </w:r>
      <w:r w:rsidR="00112BB3">
        <w:t>1,499</w:t>
      </w:r>
      <w:r>
        <w:t>,</w:t>
      </w:r>
      <w:r w:rsidR="00BD16B5">
        <w:t>999</w:t>
      </w:r>
      <w:r>
        <w:t xml:space="preserve"> to $4</w:t>
      </w:r>
      <w:r w:rsidR="00112BB3">
        <w:t>,000,000</w:t>
      </w:r>
    </w:p>
    <w:p w14:paraId="43B23FD1" w14:textId="60794393" w:rsidR="003D5B8A" w:rsidRDefault="003D5B8A" w:rsidP="003D5B8A">
      <w:pPr>
        <w:spacing w:after="0" w:line="240" w:lineRule="auto"/>
      </w:pPr>
      <w:r>
        <w:t>▪ 1</w:t>
      </w:r>
      <w:r w:rsidR="00DB7DA4">
        <w:t>6</w:t>
      </w:r>
      <w:r>
        <w:t xml:space="preserve"> organizations awarded </w:t>
      </w:r>
    </w:p>
    <w:p w14:paraId="2846FECF" w14:textId="687C40C8" w:rsidR="003D5B8A" w:rsidRDefault="003D5B8A" w:rsidP="003D5B8A">
      <w:pPr>
        <w:spacing w:after="0" w:line="240" w:lineRule="auto"/>
      </w:pPr>
      <w:r>
        <w:t xml:space="preserve">▪ Period of Performance: 42 months (July 1, </w:t>
      </w:r>
      <w:proofErr w:type="gramStart"/>
      <w:r>
        <w:t>202</w:t>
      </w:r>
      <w:r w:rsidR="00A44680">
        <w:t>5</w:t>
      </w:r>
      <w:proofErr w:type="gramEnd"/>
      <w:r>
        <w:t xml:space="preserve"> to December 31, 202</w:t>
      </w:r>
      <w:r w:rsidR="00A44680">
        <w:t>8</w:t>
      </w:r>
      <w:r>
        <w:t>)</w:t>
      </w:r>
    </w:p>
    <w:p w14:paraId="61F7AFBF" w14:textId="77777777" w:rsidR="00BD16B5" w:rsidRDefault="00BD16B5" w:rsidP="003D5B8A">
      <w:pPr>
        <w:spacing w:after="0" w:line="240" w:lineRule="auto"/>
      </w:pPr>
    </w:p>
    <w:p w14:paraId="3E065103" w14:textId="39040526" w:rsidR="00893CA3" w:rsidRDefault="00893CA3" w:rsidP="009F48F4">
      <w:pPr>
        <w:spacing w:after="0" w:line="240" w:lineRule="auto"/>
        <w:rPr>
          <w:color w:val="0070C0"/>
          <w:sz w:val="28"/>
          <w:szCs w:val="28"/>
        </w:rPr>
      </w:pPr>
    </w:p>
    <w:p w14:paraId="7D7F11E1" w14:textId="45C8277D" w:rsidR="009C6D5A" w:rsidRDefault="009C6D5A" w:rsidP="009C6D5A">
      <w:pPr>
        <w:spacing w:after="0" w:line="240" w:lineRule="auto"/>
        <w:jc w:val="center"/>
        <w:rPr>
          <w:b/>
          <w:bCs/>
          <w:color w:val="0070C0"/>
          <w:sz w:val="28"/>
          <w:szCs w:val="28"/>
        </w:rPr>
      </w:pPr>
      <w:r w:rsidRPr="00024F80">
        <w:rPr>
          <w:b/>
          <w:bCs/>
          <w:color w:val="0070C0"/>
          <w:sz w:val="28"/>
          <w:szCs w:val="28"/>
        </w:rPr>
        <w:lastRenderedPageBreak/>
        <w:t xml:space="preserve">PATHWAY HOME </w:t>
      </w:r>
      <w:r w:rsidR="009F48F4" w:rsidRPr="00024F80">
        <w:rPr>
          <w:b/>
          <w:bCs/>
          <w:color w:val="0070C0"/>
          <w:sz w:val="28"/>
          <w:szCs w:val="28"/>
        </w:rPr>
        <w:t>6</w:t>
      </w:r>
    </w:p>
    <w:p w14:paraId="06BCF6F7" w14:textId="77777777" w:rsidR="00740302" w:rsidRDefault="00740302" w:rsidP="009C6D5A">
      <w:pPr>
        <w:spacing w:after="0" w:line="240" w:lineRule="auto"/>
        <w:jc w:val="center"/>
        <w:rPr>
          <w:b/>
          <w:bCs/>
          <w:color w:val="0070C0"/>
          <w:sz w:val="28"/>
          <w:szCs w:val="28"/>
        </w:rPr>
      </w:pPr>
    </w:p>
    <w:sdt>
      <w:sdtPr>
        <w:rPr>
          <w:rFonts w:asciiTheme="minorHAnsi" w:eastAsiaTheme="minorEastAsia" w:hAnsiTheme="minorHAnsi" w:cstheme="minorBidi"/>
          <w:color w:val="auto"/>
          <w:sz w:val="22"/>
          <w:szCs w:val="22"/>
        </w:rPr>
        <w:id w:val="741598687"/>
        <w:docPartObj>
          <w:docPartGallery w:val="Table of Contents"/>
          <w:docPartUnique/>
        </w:docPartObj>
      </w:sdtPr>
      <w:sdtEndPr>
        <w:rPr>
          <w:b/>
          <w:bCs/>
          <w:noProof/>
        </w:rPr>
      </w:sdtEndPr>
      <w:sdtContent>
        <w:p w14:paraId="3C8B430B" w14:textId="3AA2E436" w:rsidR="00146C55" w:rsidRPr="009F248D" w:rsidRDefault="00146C55">
          <w:pPr>
            <w:pStyle w:val="TOCHeading"/>
            <w:rPr>
              <w:b/>
              <w:bCs/>
              <w:color w:val="538135" w:themeColor="accent6" w:themeShade="BF"/>
            </w:rPr>
          </w:pPr>
          <w:r w:rsidRPr="009F248D">
            <w:rPr>
              <w:b/>
              <w:bCs/>
              <w:color w:val="538135" w:themeColor="accent6" w:themeShade="BF"/>
            </w:rPr>
            <w:t>Table of Contents</w:t>
          </w:r>
        </w:p>
        <w:p w14:paraId="76A74C71" w14:textId="05A29C16" w:rsidR="00DB7DA4" w:rsidRDefault="00146C55" w:rsidP="00DB7DA4">
          <w:pPr>
            <w:pStyle w:val="TOC1"/>
            <w:rPr>
              <w:rFonts w:eastAsiaTheme="minorEastAsia"/>
              <w:kern w:val="2"/>
              <w:sz w:val="24"/>
              <w:szCs w:val="24"/>
              <w14:ligatures w14:val="standardContextual"/>
            </w:rPr>
          </w:pPr>
          <w:r w:rsidRPr="009F248D">
            <w:rPr>
              <w:noProof w:val="0"/>
            </w:rPr>
            <w:fldChar w:fldCharType="begin"/>
          </w:r>
          <w:r w:rsidRPr="009F248D">
            <w:instrText xml:space="preserve"> TOC \o "1-3" \h \z \u </w:instrText>
          </w:r>
          <w:r w:rsidRPr="009F248D">
            <w:rPr>
              <w:noProof w:val="0"/>
            </w:rPr>
            <w:fldChar w:fldCharType="separate"/>
          </w:r>
          <w:hyperlink w:anchor="_Toc219121419" w:history="1">
            <w:r w:rsidR="00DB7DA4" w:rsidRPr="002A7A6C">
              <w:rPr>
                <w:rStyle w:val="Hyperlink"/>
              </w:rPr>
              <w:t>Overview</w:t>
            </w:r>
            <w:r w:rsidR="00DB7DA4">
              <w:rPr>
                <w:webHidden/>
              </w:rPr>
              <w:tab/>
            </w:r>
            <w:r w:rsidR="00DB7DA4">
              <w:rPr>
                <w:webHidden/>
              </w:rPr>
              <w:fldChar w:fldCharType="begin"/>
            </w:r>
            <w:r w:rsidR="00DB7DA4">
              <w:rPr>
                <w:webHidden/>
              </w:rPr>
              <w:instrText xml:space="preserve"> PAGEREF _Toc219121419 \h </w:instrText>
            </w:r>
            <w:r w:rsidR="00DB7DA4">
              <w:rPr>
                <w:webHidden/>
              </w:rPr>
            </w:r>
            <w:r w:rsidR="00DB7DA4">
              <w:rPr>
                <w:webHidden/>
              </w:rPr>
              <w:fldChar w:fldCharType="separate"/>
            </w:r>
            <w:r w:rsidR="00DB7DA4">
              <w:rPr>
                <w:webHidden/>
              </w:rPr>
              <w:t>1</w:t>
            </w:r>
            <w:r w:rsidR="00DB7DA4">
              <w:rPr>
                <w:webHidden/>
              </w:rPr>
              <w:fldChar w:fldCharType="end"/>
            </w:r>
          </w:hyperlink>
        </w:p>
        <w:p w14:paraId="0B2C6F88" w14:textId="2BD500F6" w:rsidR="00DB7DA4" w:rsidRDefault="00DB7DA4" w:rsidP="00DB7DA4">
          <w:pPr>
            <w:pStyle w:val="TOC1"/>
            <w:rPr>
              <w:rFonts w:eastAsiaTheme="minorEastAsia"/>
              <w:kern w:val="2"/>
              <w:sz w:val="24"/>
              <w:szCs w:val="24"/>
              <w14:ligatures w14:val="standardContextual"/>
            </w:rPr>
          </w:pPr>
          <w:hyperlink w:anchor="_Toc219121420" w:history="1">
            <w:r w:rsidRPr="002A7A6C">
              <w:rPr>
                <w:rStyle w:val="Hyperlink"/>
              </w:rPr>
              <w:t>Berrien-Cass-Van Buren Workforce Development Board, Inc.</w:t>
            </w:r>
            <w:r>
              <w:rPr>
                <w:webHidden/>
              </w:rPr>
              <w:tab/>
            </w:r>
            <w:r>
              <w:rPr>
                <w:webHidden/>
              </w:rPr>
              <w:fldChar w:fldCharType="begin"/>
            </w:r>
            <w:r>
              <w:rPr>
                <w:webHidden/>
              </w:rPr>
              <w:instrText xml:space="preserve"> PAGEREF _Toc219121420 \h </w:instrText>
            </w:r>
            <w:r>
              <w:rPr>
                <w:webHidden/>
              </w:rPr>
            </w:r>
            <w:r>
              <w:rPr>
                <w:webHidden/>
              </w:rPr>
              <w:fldChar w:fldCharType="separate"/>
            </w:r>
            <w:r>
              <w:rPr>
                <w:webHidden/>
              </w:rPr>
              <w:t>3</w:t>
            </w:r>
            <w:r>
              <w:rPr>
                <w:webHidden/>
              </w:rPr>
              <w:fldChar w:fldCharType="end"/>
            </w:r>
          </w:hyperlink>
        </w:p>
        <w:p w14:paraId="42BF7E36" w14:textId="03CE3481" w:rsidR="00DB7DA4" w:rsidRDefault="00DB7DA4" w:rsidP="00DB7DA4">
          <w:pPr>
            <w:pStyle w:val="TOC1"/>
            <w:rPr>
              <w:rFonts w:eastAsiaTheme="minorEastAsia"/>
              <w:kern w:val="2"/>
              <w:sz w:val="24"/>
              <w:szCs w:val="24"/>
              <w14:ligatures w14:val="standardContextual"/>
            </w:rPr>
          </w:pPr>
          <w:hyperlink w:anchor="_Toc219121421" w:history="1">
            <w:r w:rsidRPr="002A7A6C">
              <w:rPr>
                <w:rStyle w:val="Hyperlink"/>
              </w:rPr>
              <w:t>Dress for Success Phoenix</w:t>
            </w:r>
            <w:r>
              <w:rPr>
                <w:webHidden/>
              </w:rPr>
              <w:tab/>
            </w:r>
            <w:r>
              <w:rPr>
                <w:webHidden/>
              </w:rPr>
              <w:fldChar w:fldCharType="begin"/>
            </w:r>
            <w:r>
              <w:rPr>
                <w:webHidden/>
              </w:rPr>
              <w:instrText xml:space="preserve"> PAGEREF _Toc219121421 \h </w:instrText>
            </w:r>
            <w:r>
              <w:rPr>
                <w:webHidden/>
              </w:rPr>
            </w:r>
            <w:r>
              <w:rPr>
                <w:webHidden/>
              </w:rPr>
              <w:fldChar w:fldCharType="separate"/>
            </w:r>
            <w:r>
              <w:rPr>
                <w:webHidden/>
              </w:rPr>
              <w:t>4</w:t>
            </w:r>
            <w:r>
              <w:rPr>
                <w:webHidden/>
              </w:rPr>
              <w:fldChar w:fldCharType="end"/>
            </w:r>
          </w:hyperlink>
        </w:p>
        <w:p w14:paraId="4759B43C" w14:textId="3E0F0211" w:rsidR="00DB7DA4" w:rsidRDefault="00DB7DA4" w:rsidP="00DB7DA4">
          <w:pPr>
            <w:pStyle w:val="TOC1"/>
            <w:rPr>
              <w:rFonts w:eastAsiaTheme="minorEastAsia"/>
              <w:kern w:val="2"/>
              <w:sz w:val="24"/>
              <w:szCs w:val="24"/>
              <w14:ligatures w14:val="standardContextual"/>
            </w:rPr>
          </w:pPr>
          <w:hyperlink w:anchor="_Toc219121422" w:history="1">
            <w:r w:rsidRPr="002A7A6C">
              <w:rPr>
                <w:rStyle w:val="Hyperlink"/>
              </w:rPr>
              <w:t>Employ Prince George’s Inc.</w:t>
            </w:r>
            <w:r>
              <w:rPr>
                <w:webHidden/>
              </w:rPr>
              <w:tab/>
            </w:r>
            <w:r>
              <w:rPr>
                <w:webHidden/>
              </w:rPr>
              <w:fldChar w:fldCharType="begin"/>
            </w:r>
            <w:r>
              <w:rPr>
                <w:webHidden/>
              </w:rPr>
              <w:instrText xml:space="preserve"> PAGEREF _Toc219121422 \h </w:instrText>
            </w:r>
            <w:r>
              <w:rPr>
                <w:webHidden/>
              </w:rPr>
            </w:r>
            <w:r>
              <w:rPr>
                <w:webHidden/>
              </w:rPr>
              <w:fldChar w:fldCharType="separate"/>
            </w:r>
            <w:r>
              <w:rPr>
                <w:webHidden/>
              </w:rPr>
              <w:t>5</w:t>
            </w:r>
            <w:r>
              <w:rPr>
                <w:webHidden/>
              </w:rPr>
              <w:fldChar w:fldCharType="end"/>
            </w:r>
          </w:hyperlink>
        </w:p>
        <w:p w14:paraId="57643ABC" w14:textId="072E328F" w:rsidR="00DB7DA4" w:rsidRDefault="00DB7DA4" w:rsidP="00DB7DA4">
          <w:pPr>
            <w:pStyle w:val="TOC1"/>
            <w:rPr>
              <w:rFonts w:eastAsiaTheme="minorEastAsia"/>
              <w:kern w:val="2"/>
              <w:sz w:val="24"/>
              <w:szCs w:val="24"/>
              <w14:ligatures w14:val="standardContextual"/>
            </w:rPr>
          </w:pPr>
          <w:hyperlink w:anchor="_Toc219121423" w:history="1">
            <w:r w:rsidRPr="002A7A6C">
              <w:rPr>
                <w:rStyle w:val="Hyperlink"/>
              </w:rPr>
              <w:t>Fedcap, Inc.</w:t>
            </w:r>
            <w:r>
              <w:rPr>
                <w:webHidden/>
              </w:rPr>
              <w:tab/>
            </w:r>
            <w:r>
              <w:rPr>
                <w:webHidden/>
              </w:rPr>
              <w:fldChar w:fldCharType="begin"/>
            </w:r>
            <w:r>
              <w:rPr>
                <w:webHidden/>
              </w:rPr>
              <w:instrText xml:space="preserve"> PAGEREF _Toc219121423 \h </w:instrText>
            </w:r>
            <w:r>
              <w:rPr>
                <w:webHidden/>
              </w:rPr>
            </w:r>
            <w:r>
              <w:rPr>
                <w:webHidden/>
              </w:rPr>
              <w:fldChar w:fldCharType="separate"/>
            </w:r>
            <w:r>
              <w:rPr>
                <w:webHidden/>
              </w:rPr>
              <w:t>6</w:t>
            </w:r>
            <w:r>
              <w:rPr>
                <w:webHidden/>
              </w:rPr>
              <w:fldChar w:fldCharType="end"/>
            </w:r>
          </w:hyperlink>
        </w:p>
        <w:p w14:paraId="3B2E2F70" w14:textId="112B8235" w:rsidR="00DB7DA4" w:rsidRDefault="00DB7DA4" w:rsidP="00DB7DA4">
          <w:pPr>
            <w:pStyle w:val="TOC1"/>
            <w:rPr>
              <w:rFonts w:eastAsiaTheme="minorEastAsia"/>
              <w:kern w:val="2"/>
              <w:sz w:val="24"/>
              <w:szCs w:val="24"/>
              <w14:ligatures w14:val="standardContextual"/>
            </w:rPr>
          </w:pPr>
          <w:hyperlink w:anchor="_Toc219121424" w:history="1">
            <w:r w:rsidRPr="002A7A6C">
              <w:rPr>
                <w:rStyle w:val="Hyperlink"/>
              </w:rPr>
              <w:t>Kansas Department of Commerce</w:t>
            </w:r>
            <w:r>
              <w:rPr>
                <w:webHidden/>
              </w:rPr>
              <w:tab/>
            </w:r>
            <w:r>
              <w:rPr>
                <w:webHidden/>
              </w:rPr>
              <w:fldChar w:fldCharType="begin"/>
            </w:r>
            <w:r>
              <w:rPr>
                <w:webHidden/>
              </w:rPr>
              <w:instrText xml:space="preserve"> PAGEREF _Toc219121424 \h </w:instrText>
            </w:r>
            <w:r>
              <w:rPr>
                <w:webHidden/>
              </w:rPr>
            </w:r>
            <w:r>
              <w:rPr>
                <w:webHidden/>
              </w:rPr>
              <w:fldChar w:fldCharType="separate"/>
            </w:r>
            <w:r>
              <w:rPr>
                <w:webHidden/>
              </w:rPr>
              <w:t>7</w:t>
            </w:r>
            <w:r>
              <w:rPr>
                <w:webHidden/>
              </w:rPr>
              <w:fldChar w:fldCharType="end"/>
            </w:r>
          </w:hyperlink>
        </w:p>
        <w:p w14:paraId="75DEC02A" w14:textId="1B3D30EF" w:rsidR="00DB7DA4" w:rsidRDefault="00DB7DA4" w:rsidP="00DB7DA4">
          <w:pPr>
            <w:pStyle w:val="TOC1"/>
            <w:rPr>
              <w:rFonts w:eastAsiaTheme="minorEastAsia"/>
              <w:kern w:val="2"/>
              <w:sz w:val="24"/>
              <w:szCs w:val="24"/>
              <w14:ligatures w14:val="standardContextual"/>
            </w:rPr>
          </w:pPr>
          <w:hyperlink w:anchor="_Toc219121425" w:history="1">
            <w:r w:rsidRPr="002A7A6C">
              <w:rPr>
                <w:rStyle w:val="Hyperlink"/>
              </w:rPr>
              <w:t>Knoxville Leadership Foundation</w:t>
            </w:r>
            <w:r>
              <w:rPr>
                <w:webHidden/>
              </w:rPr>
              <w:tab/>
            </w:r>
            <w:r>
              <w:rPr>
                <w:webHidden/>
              </w:rPr>
              <w:fldChar w:fldCharType="begin"/>
            </w:r>
            <w:r>
              <w:rPr>
                <w:webHidden/>
              </w:rPr>
              <w:instrText xml:space="preserve"> PAGEREF _Toc219121425 \h </w:instrText>
            </w:r>
            <w:r>
              <w:rPr>
                <w:webHidden/>
              </w:rPr>
            </w:r>
            <w:r>
              <w:rPr>
                <w:webHidden/>
              </w:rPr>
              <w:fldChar w:fldCharType="separate"/>
            </w:r>
            <w:r>
              <w:rPr>
                <w:webHidden/>
              </w:rPr>
              <w:t>8</w:t>
            </w:r>
            <w:r>
              <w:rPr>
                <w:webHidden/>
              </w:rPr>
              <w:fldChar w:fldCharType="end"/>
            </w:r>
          </w:hyperlink>
        </w:p>
        <w:p w14:paraId="7D7EFB59" w14:textId="11716120" w:rsidR="00DB7DA4" w:rsidRDefault="00DB7DA4" w:rsidP="00DB7DA4">
          <w:pPr>
            <w:pStyle w:val="TOC1"/>
            <w:rPr>
              <w:rFonts w:eastAsiaTheme="minorEastAsia"/>
              <w:kern w:val="2"/>
              <w:sz w:val="24"/>
              <w:szCs w:val="24"/>
              <w14:ligatures w14:val="standardContextual"/>
            </w:rPr>
          </w:pPr>
          <w:hyperlink w:anchor="_Toc219121426" w:history="1">
            <w:r w:rsidRPr="002A7A6C">
              <w:rPr>
                <w:rStyle w:val="Hyperlink"/>
              </w:rPr>
              <w:t>Midwest Urban Strategies, Inc.</w:t>
            </w:r>
            <w:r>
              <w:rPr>
                <w:webHidden/>
              </w:rPr>
              <w:tab/>
            </w:r>
            <w:r>
              <w:rPr>
                <w:webHidden/>
              </w:rPr>
              <w:fldChar w:fldCharType="begin"/>
            </w:r>
            <w:r>
              <w:rPr>
                <w:webHidden/>
              </w:rPr>
              <w:instrText xml:space="preserve"> PAGEREF _Toc219121426 \h </w:instrText>
            </w:r>
            <w:r>
              <w:rPr>
                <w:webHidden/>
              </w:rPr>
            </w:r>
            <w:r>
              <w:rPr>
                <w:webHidden/>
              </w:rPr>
              <w:fldChar w:fldCharType="separate"/>
            </w:r>
            <w:r>
              <w:rPr>
                <w:webHidden/>
              </w:rPr>
              <w:t>10</w:t>
            </w:r>
            <w:r>
              <w:rPr>
                <w:webHidden/>
              </w:rPr>
              <w:fldChar w:fldCharType="end"/>
            </w:r>
          </w:hyperlink>
        </w:p>
        <w:p w14:paraId="0B7D7B59" w14:textId="529118F5" w:rsidR="00DB7DA4" w:rsidRDefault="00DB7DA4" w:rsidP="00DB7DA4">
          <w:pPr>
            <w:pStyle w:val="TOC1"/>
            <w:rPr>
              <w:rFonts w:eastAsiaTheme="minorEastAsia"/>
              <w:kern w:val="2"/>
              <w:sz w:val="24"/>
              <w:szCs w:val="24"/>
              <w14:ligatures w14:val="standardContextual"/>
            </w:rPr>
          </w:pPr>
          <w:hyperlink w:anchor="_Toc219121427" w:history="1">
            <w:r w:rsidRPr="002A7A6C">
              <w:rPr>
                <w:rStyle w:val="Hyperlink"/>
              </w:rPr>
              <w:t>National Restaurant Association Educational Foundation</w:t>
            </w:r>
            <w:r>
              <w:rPr>
                <w:webHidden/>
              </w:rPr>
              <w:tab/>
            </w:r>
            <w:r>
              <w:rPr>
                <w:webHidden/>
              </w:rPr>
              <w:fldChar w:fldCharType="begin"/>
            </w:r>
            <w:r>
              <w:rPr>
                <w:webHidden/>
              </w:rPr>
              <w:instrText xml:space="preserve"> PAGEREF _Toc219121427 \h </w:instrText>
            </w:r>
            <w:r>
              <w:rPr>
                <w:webHidden/>
              </w:rPr>
            </w:r>
            <w:r>
              <w:rPr>
                <w:webHidden/>
              </w:rPr>
              <w:fldChar w:fldCharType="separate"/>
            </w:r>
            <w:r>
              <w:rPr>
                <w:webHidden/>
              </w:rPr>
              <w:t>11</w:t>
            </w:r>
            <w:r>
              <w:rPr>
                <w:webHidden/>
              </w:rPr>
              <w:fldChar w:fldCharType="end"/>
            </w:r>
          </w:hyperlink>
        </w:p>
        <w:p w14:paraId="67F1BC1A" w14:textId="32045A36" w:rsidR="00DB7DA4" w:rsidRDefault="00DB7DA4" w:rsidP="00DB7DA4">
          <w:pPr>
            <w:pStyle w:val="TOC1"/>
            <w:rPr>
              <w:rFonts w:eastAsiaTheme="minorEastAsia"/>
              <w:kern w:val="2"/>
              <w:sz w:val="24"/>
              <w:szCs w:val="24"/>
              <w14:ligatures w14:val="standardContextual"/>
            </w:rPr>
          </w:pPr>
          <w:hyperlink w:anchor="_Toc219121428" w:history="1">
            <w:r w:rsidRPr="002A7A6C">
              <w:rPr>
                <w:rStyle w:val="Hyperlink"/>
              </w:rPr>
              <w:t>North Carolina Department of Commerce, Division of Workforce Solutions</w:t>
            </w:r>
            <w:r>
              <w:rPr>
                <w:webHidden/>
              </w:rPr>
              <w:tab/>
            </w:r>
            <w:r>
              <w:rPr>
                <w:webHidden/>
              </w:rPr>
              <w:fldChar w:fldCharType="begin"/>
            </w:r>
            <w:r>
              <w:rPr>
                <w:webHidden/>
              </w:rPr>
              <w:instrText xml:space="preserve"> PAGEREF _Toc219121428 \h </w:instrText>
            </w:r>
            <w:r>
              <w:rPr>
                <w:webHidden/>
              </w:rPr>
            </w:r>
            <w:r>
              <w:rPr>
                <w:webHidden/>
              </w:rPr>
              <w:fldChar w:fldCharType="separate"/>
            </w:r>
            <w:r>
              <w:rPr>
                <w:webHidden/>
              </w:rPr>
              <w:t>12</w:t>
            </w:r>
            <w:r>
              <w:rPr>
                <w:webHidden/>
              </w:rPr>
              <w:fldChar w:fldCharType="end"/>
            </w:r>
          </w:hyperlink>
        </w:p>
        <w:p w14:paraId="3FCA292E" w14:textId="2DAD6493" w:rsidR="00DB7DA4" w:rsidRDefault="00DB7DA4" w:rsidP="00DB7DA4">
          <w:pPr>
            <w:pStyle w:val="TOC1"/>
            <w:rPr>
              <w:rFonts w:eastAsiaTheme="minorEastAsia"/>
              <w:kern w:val="2"/>
              <w:sz w:val="24"/>
              <w:szCs w:val="24"/>
              <w14:ligatures w14:val="standardContextual"/>
            </w:rPr>
          </w:pPr>
          <w:hyperlink w:anchor="_Toc219121429" w:history="1">
            <w:r w:rsidRPr="002A7A6C">
              <w:rPr>
                <w:rStyle w:val="Hyperlink"/>
              </w:rPr>
              <w:t>Peckham Vocational Industries, Inc.</w:t>
            </w:r>
            <w:r>
              <w:rPr>
                <w:webHidden/>
              </w:rPr>
              <w:tab/>
            </w:r>
            <w:r>
              <w:rPr>
                <w:webHidden/>
              </w:rPr>
              <w:fldChar w:fldCharType="begin"/>
            </w:r>
            <w:r>
              <w:rPr>
                <w:webHidden/>
              </w:rPr>
              <w:instrText xml:space="preserve"> PAGEREF _Toc219121429 \h </w:instrText>
            </w:r>
            <w:r>
              <w:rPr>
                <w:webHidden/>
              </w:rPr>
            </w:r>
            <w:r>
              <w:rPr>
                <w:webHidden/>
              </w:rPr>
              <w:fldChar w:fldCharType="separate"/>
            </w:r>
            <w:r>
              <w:rPr>
                <w:webHidden/>
              </w:rPr>
              <w:t>13</w:t>
            </w:r>
            <w:r>
              <w:rPr>
                <w:webHidden/>
              </w:rPr>
              <w:fldChar w:fldCharType="end"/>
            </w:r>
          </w:hyperlink>
        </w:p>
        <w:p w14:paraId="499AAD97" w14:textId="20B4D679" w:rsidR="00DB7DA4" w:rsidRDefault="00DB7DA4" w:rsidP="00DB7DA4">
          <w:pPr>
            <w:pStyle w:val="TOC1"/>
            <w:rPr>
              <w:rFonts w:eastAsiaTheme="minorEastAsia"/>
              <w:kern w:val="2"/>
              <w:sz w:val="24"/>
              <w:szCs w:val="24"/>
              <w14:ligatures w14:val="standardContextual"/>
            </w:rPr>
          </w:pPr>
          <w:hyperlink w:anchor="_Toc219121430" w:history="1">
            <w:r w:rsidRPr="002A7A6C">
              <w:rPr>
                <w:rStyle w:val="Hyperlink"/>
              </w:rPr>
              <w:t>Siouxland Human Investment Partnership</w:t>
            </w:r>
            <w:r>
              <w:rPr>
                <w:webHidden/>
              </w:rPr>
              <w:tab/>
            </w:r>
            <w:r>
              <w:rPr>
                <w:webHidden/>
              </w:rPr>
              <w:fldChar w:fldCharType="begin"/>
            </w:r>
            <w:r>
              <w:rPr>
                <w:webHidden/>
              </w:rPr>
              <w:instrText xml:space="preserve"> PAGEREF _Toc219121430 \h </w:instrText>
            </w:r>
            <w:r>
              <w:rPr>
                <w:webHidden/>
              </w:rPr>
            </w:r>
            <w:r>
              <w:rPr>
                <w:webHidden/>
              </w:rPr>
              <w:fldChar w:fldCharType="separate"/>
            </w:r>
            <w:r>
              <w:rPr>
                <w:webHidden/>
              </w:rPr>
              <w:t>14</w:t>
            </w:r>
            <w:r>
              <w:rPr>
                <w:webHidden/>
              </w:rPr>
              <w:fldChar w:fldCharType="end"/>
            </w:r>
          </w:hyperlink>
        </w:p>
        <w:p w14:paraId="4E025890" w14:textId="653EC018" w:rsidR="00DB7DA4" w:rsidRDefault="00DB7DA4" w:rsidP="00DB7DA4">
          <w:pPr>
            <w:pStyle w:val="TOC1"/>
            <w:rPr>
              <w:rFonts w:eastAsiaTheme="minorEastAsia"/>
              <w:kern w:val="2"/>
              <w:sz w:val="24"/>
              <w:szCs w:val="24"/>
              <w14:ligatures w14:val="standardContextual"/>
            </w:rPr>
          </w:pPr>
          <w:hyperlink w:anchor="_Toc219121431" w:history="1">
            <w:r w:rsidRPr="002A7A6C">
              <w:rPr>
                <w:rStyle w:val="Hyperlink"/>
              </w:rPr>
              <w:t>South Central Workforce Development Council</w:t>
            </w:r>
            <w:r>
              <w:rPr>
                <w:webHidden/>
              </w:rPr>
              <w:tab/>
            </w:r>
            <w:r>
              <w:rPr>
                <w:webHidden/>
              </w:rPr>
              <w:fldChar w:fldCharType="begin"/>
            </w:r>
            <w:r>
              <w:rPr>
                <w:webHidden/>
              </w:rPr>
              <w:instrText xml:space="preserve"> PAGEREF _Toc219121431 \h </w:instrText>
            </w:r>
            <w:r>
              <w:rPr>
                <w:webHidden/>
              </w:rPr>
            </w:r>
            <w:r>
              <w:rPr>
                <w:webHidden/>
              </w:rPr>
              <w:fldChar w:fldCharType="separate"/>
            </w:r>
            <w:r>
              <w:rPr>
                <w:webHidden/>
              </w:rPr>
              <w:t>15</w:t>
            </w:r>
            <w:r>
              <w:rPr>
                <w:webHidden/>
              </w:rPr>
              <w:fldChar w:fldCharType="end"/>
            </w:r>
          </w:hyperlink>
        </w:p>
        <w:p w14:paraId="4B0C7CEE" w14:textId="76C0FEF1" w:rsidR="00DB7DA4" w:rsidRDefault="00DB7DA4" w:rsidP="00DB7DA4">
          <w:pPr>
            <w:pStyle w:val="TOC1"/>
            <w:rPr>
              <w:rFonts w:eastAsiaTheme="minorEastAsia"/>
              <w:kern w:val="2"/>
              <w:sz w:val="24"/>
              <w:szCs w:val="24"/>
              <w14:ligatures w14:val="standardContextual"/>
            </w:rPr>
          </w:pPr>
          <w:hyperlink w:anchor="_Toc219121432" w:history="1">
            <w:r w:rsidRPr="002A7A6C">
              <w:rPr>
                <w:rStyle w:val="Hyperlink"/>
              </w:rPr>
              <w:t>Southwest Wisconsin Workforce Development Board, Inc.</w:t>
            </w:r>
            <w:r>
              <w:rPr>
                <w:webHidden/>
              </w:rPr>
              <w:tab/>
            </w:r>
            <w:r>
              <w:rPr>
                <w:webHidden/>
              </w:rPr>
              <w:fldChar w:fldCharType="begin"/>
            </w:r>
            <w:r>
              <w:rPr>
                <w:webHidden/>
              </w:rPr>
              <w:instrText xml:space="preserve"> PAGEREF _Toc219121432 \h </w:instrText>
            </w:r>
            <w:r>
              <w:rPr>
                <w:webHidden/>
              </w:rPr>
            </w:r>
            <w:r>
              <w:rPr>
                <w:webHidden/>
              </w:rPr>
              <w:fldChar w:fldCharType="separate"/>
            </w:r>
            <w:r>
              <w:rPr>
                <w:webHidden/>
              </w:rPr>
              <w:t>16</w:t>
            </w:r>
            <w:r>
              <w:rPr>
                <w:webHidden/>
              </w:rPr>
              <w:fldChar w:fldCharType="end"/>
            </w:r>
          </w:hyperlink>
        </w:p>
        <w:p w14:paraId="39219087" w14:textId="7EB65361" w:rsidR="00DB7DA4" w:rsidRPr="00DB7DA4" w:rsidRDefault="00DB7DA4" w:rsidP="00DB7DA4">
          <w:pPr>
            <w:pStyle w:val="TOC1"/>
            <w:rPr>
              <w:rFonts w:eastAsiaTheme="minorEastAsia"/>
              <w:kern w:val="2"/>
              <w:sz w:val="24"/>
              <w:szCs w:val="24"/>
              <w14:ligatures w14:val="standardContextual"/>
            </w:rPr>
          </w:pPr>
          <w:hyperlink w:anchor="_Toc219121433" w:history="1">
            <w:r w:rsidRPr="00DB7DA4">
              <w:rPr>
                <w:rStyle w:val="Hyperlink"/>
                <w:color w:val="auto"/>
              </w:rPr>
              <w:t>The Ridge Project, Inc.</w:t>
            </w:r>
            <w:r w:rsidRPr="00DB7DA4">
              <w:rPr>
                <w:webHidden/>
              </w:rPr>
              <w:tab/>
            </w:r>
            <w:r w:rsidRPr="00DB7DA4">
              <w:rPr>
                <w:webHidden/>
              </w:rPr>
              <w:fldChar w:fldCharType="begin"/>
            </w:r>
            <w:r w:rsidRPr="00DB7DA4">
              <w:rPr>
                <w:webHidden/>
              </w:rPr>
              <w:instrText xml:space="preserve"> PAGEREF _Toc219121433 \h </w:instrText>
            </w:r>
            <w:r w:rsidRPr="00DB7DA4">
              <w:rPr>
                <w:webHidden/>
              </w:rPr>
            </w:r>
            <w:r w:rsidRPr="00DB7DA4">
              <w:rPr>
                <w:webHidden/>
              </w:rPr>
              <w:fldChar w:fldCharType="separate"/>
            </w:r>
            <w:r w:rsidRPr="00DB7DA4">
              <w:rPr>
                <w:webHidden/>
              </w:rPr>
              <w:t>17</w:t>
            </w:r>
            <w:r w:rsidRPr="00DB7DA4">
              <w:rPr>
                <w:webHidden/>
              </w:rPr>
              <w:fldChar w:fldCharType="end"/>
            </w:r>
          </w:hyperlink>
        </w:p>
        <w:p w14:paraId="57B24B41" w14:textId="0D227090" w:rsidR="00DB7DA4" w:rsidRDefault="00DB7DA4" w:rsidP="00DB7DA4">
          <w:pPr>
            <w:pStyle w:val="TOC1"/>
            <w:rPr>
              <w:rFonts w:eastAsiaTheme="minorEastAsia"/>
              <w:kern w:val="2"/>
              <w:sz w:val="24"/>
              <w:szCs w:val="24"/>
              <w14:ligatures w14:val="standardContextual"/>
            </w:rPr>
          </w:pPr>
          <w:hyperlink w:anchor="_Toc219121434" w:history="1">
            <w:r w:rsidRPr="002A7A6C">
              <w:rPr>
                <w:rStyle w:val="Hyperlink"/>
              </w:rPr>
              <w:t>Washington State Department of Employment Security</w:t>
            </w:r>
            <w:r>
              <w:rPr>
                <w:webHidden/>
              </w:rPr>
              <w:tab/>
            </w:r>
            <w:r>
              <w:rPr>
                <w:webHidden/>
              </w:rPr>
              <w:fldChar w:fldCharType="begin"/>
            </w:r>
            <w:r>
              <w:rPr>
                <w:webHidden/>
              </w:rPr>
              <w:instrText xml:space="preserve"> PAGEREF _Toc219121434 \h </w:instrText>
            </w:r>
            <w:r>
              <w:rPr>
                <w:webHidden/>
              </w:rPr>
            </w:r>
            <w:r>
              <w:rPr>
                <w:webHidden/>
              </w:rPr>
              <w:fldChar w:fldCharType="separate"/>
            </w:r>
            <w:r>
              <w:rPr>
                <w:webHidden/>
              </w:rPr>
              <w:t>18</w:t>
            </w:r>
            <w:r>
              <w:rPr>
                <w:webHidden/>
              </w:rPr>
              <w:fldChar w:fldCharType="end"/>
            </w:r>
          </w:hyperlink>
        </w:p>
        <w:p w14:paraId="4597D99C" w14:textId="6DFDF000" w:rsidR="00146C55" w:rsidRPr="009F248D" w:rsidRDefault="00146C55">
          <w:r w:rsidRPr="009F248D">
            <w:rPr>
              <w:b/>
              <w:bCs/>
              <w:noProof/>
            </w:rPr>
            <w:fldChar w:fldCharType="end"/>
          </w:r>
        </w:p>
      </w:sdtContent>
    </w:sdt>
    <w:p w14:paraId="317D789E" w14:textId="77777777" w:rsidR="00740302" w:rsidRPr="00DB7DA4" w:rsidRDefault="00740302" w:rsidP="00740302">
      <w:pPr>
        <w:spacing w:after="0" w:line="240" w:lineRule="auto"/>
        <w:rPr>
          <w:b/>
          <w:bCs/>
          <w:sz w:val="28"/>
          <w:szCs w:val="28"/>
        </w:rPr>
      </w:pPr>
    </w:p>
    <w:p w14:paraId="0A248816" w14:textId="77777777" w:rsidR="00951CF2" w:rsidRPr="009F248D" w:rsidRDefault="00951CF2" w:rsidP="009C6D5A">
      <w:pPr>
        <w:spacing w:after="0" w:line="240" w:lineRule="auto"/>
        <w:rPr>
          <w:sz w:val="36"/>
          <w:szCs w:val="36"/>
        </w:rPr>
      </w:pPr>
    </w:p>
    <w:p w14:paraId="4CEFFF1A" w14:textId="77777777" w:rsidR="00F225D4" w:rsidRPr="009F248D" w:rsidRDefault="00F225D4" w:rsidP="00F516EB">
      <w:pPr>
        <w:spacing w:after="80" w:line="240" w:lineRule="auto"/>
      </w:pPr>
    </w:p>
    <w:p w14:paraId="453C3C10" w14:textId="2DAAC2AA" w:rsidR="00F225D4" w:rsidRDefault="00F225D4" w:rsidP="00F516EB">
      <w:pPr>
        <w:spacing w:after="80" w:line="240" w:lineRule="auto"/>
      </w:pPr>
    </w:p>
    <w:p w14:paraId="0AFAD17F" w14:textId="77777777" w:rsidR="00F225D4" w:rsidRDefault="00F225D4">
      <w:r>
        <w:br w:type="page"/>
      </w:r>
    </w:p>
    <w:p w14:paraId="0DE97E5E" w14:textId="6AD74898" w:rsidR="00F225D4" w:rsidRPr="008714DF" w:rsidRDefault="008714DF" w:rsidP="008714DF">
      <w:pPr>
        <w:pStyle w:val="Heading1"/>
        <w:rPr>
          <w:b/>
          <w:bCs/>
          <w:color w:val="538135" w:themeColor="accent6" w:themeShade="BF"/>
          <w:sz w:val="28"/>
          <w:szCs w:val="28"/>
        </w:rPr>
      </w:pPr>
      <w:bookmarkStart w:id="1" w:name="_Toc219121420"/>
      <w:r w:rsidRPr="008714DF">
        <w:rPr>
          <w:b/>
          <w:bCs/>
          <w:color w:val="538135" w:themeColor="accent6" w:themeShade="BF"/>
          <w:sz w:val="28"/>
          <w:szCs w:val="28"/>
        </w:rPr>
        <w:lastRenderedPageBreak/>
        <w:t>Berrien-</w:t>
      </w:r>
      <w:r w:rsidRPr="00146C55">
        <w:rPr>
          <w:b/>
          <w:bCs/>
          <w:color w:val="538135" w:themeColor="accent6" w:themeShade="BF"/>
          <w:sz w:val="28"/>
          <w:szCs w:val="28"/>
        </w:rPr>
        <w:t>Cass</w:t>
      </w:r>
      <w:r w:rsidRPr="008714DF">
        <w:rPr>
          <w:b/>
          <w:bCs/>
          <w:color w:val="538135" w:themeColor="accent6" w:themeShade="BF"/>
          <w:sz w:val="28"/>
          <w:szCs w:val="28"/>
        </w:rPr>
        <w:t>-Van Buren Workforce Development Board, Inc.</w:t>
      </w:r>
      <w:bookmarkEnd w:id="1"/>
      <w:r w:rsidR="00F225D4" w:rsidRPr="008714DF">
        <w:rPr>
          <w:b/>
          <w:bCs/>
          <w:color w:val="538135" w:themeColor="accent6" w:themeShade="BF"/>
          <w:sz w:val="28"/>
          <w:szCs w:val="28"/>
        </w:rPr>
        <w:t xml:space="preserve"> </w:t>
      </w:r>
    </w:p>
    <w:p w14:paraId="51A1A2CE" w14:textId="71D96F25" w:rsidR="00F225D4" w:rsidRDefault="00F4153E" w:rsidP="00F225D4">
      <w:pPr>
        <w:spacing w:after="40" w:line="240" w:lineRule="auto"/>
        <w:rPr>
          <w:rFonts w:cstheme="minorHAnsi"/>
          <w:color w:val="2F5496" w:themeColor="accent1" w:themeShade="BF"/>
          <w:sz w:val="24"/>
          <w:szCs w:val="24"/>
        </w:rPr>
      </w:pPr>
      <w:r w:rsidRPr="002D60D8">
        <w:rPr>
          <w:rFonts w:cstheme="minorHAnsi"/>
          <w:color w:val="2F5496" w:themeColor="accent1" w:themeShade="BF"/>
          <w:sz w:val="24"/>
          <w:szCs w:val="24"/>
        </w:rPr>
        <w:t>Benton Harbor, MI</w:t>
      </w:r>
    </w:p>
    <w:p w14:paraId="6A162EEB" w14:textId="77777777" w:rsidR="001B6548" w:rsidRPr="002D60D8" w:rsidRDefault="001B6548" w:rsidP="00F225D4">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rsidRPr="00B724F7" w14:paraId="131E1A11" w14:textId="77777777" w:rsidTr="001B6548">
        <w:tc>
          <w:tcPr>
            <w:tcW w:w="3505" w:type="dxa"/>
          </w:tcPr>
          <w:p w14:paraId="443CF88B" w14:textId="48E963B8" w:rsidR="001B6548" w:rsidRPr="00B724F7" w:rsidRDefault="001B6548" w:rsidP="00F225D4">
            <w:pPr>
              <w:spacing w:after="40"/>
              <w:rPr>
                <w:rFonts w:cstheme="minorHAnsi"/>
                <w:sz w:val="24"/>
                <w:szCs w:val="24"/>
              </w:rPr>
            </w:pPr>
            <w:r w:rsidRPr="00B724F7">
              <w:rPr>
                <w:rFonts w:cstheme="minorHAnsi"/>
                <w:b/>
                <w:bCs/>
                <w:sz w:val="24"/>
                <w:szCs w:val="24"/>
              </w:rPr>
              <w:t>Award Amount:</w:t>
            </w:r>
          </w:p>
        </w:tc>
        <w:tc>
          <w:tcPr>
            <w:tcW w:w="5845" w:type="dxa"/>
          </w:tcPr>
          <w:p w14:paraId="7217B8EC" w14:textId="74F8EF2E" w:rsidR="001B6548" w:rsidRPr="00B724F7" w:rsidRDefault="001B6548" w:rsidP="00F225D4">
            <w:pPr>
              <w:spacing w:after="40"/>
              <w:rPr>
                <w:rFonts w:cstheme="minorHAnsi"/>
                <w:sz w:val="24"/>
                <w:szCs w:val="24"/>
              </w:rPr>
            </w:pPr>
            <w:r w:rsidRPr="00B724F7">
              <w:rPr>
                <w:rFonts w:cstheme="minorHAnsi"/>
                <w:sz w:val="24"/>
                <w:szCs w:val="24"/>
              </w:rPr>
              <w:t>$2,999,999</w:t>
            </w:r>
          </w:p>
        </w:tc>
      </w:tr>
      <w:tr w:rsidR="001B6548" w:rsidRPr="00B724F7" w14:paraId="2819A7C0" w14:textId="77777777" w:rsidTr="001B6548">
        <w:tc>
          <w:tcPr>
            <w:tcW w:w="3505" w:type="dxa"/>
          </w:tcPr>
          <w:p w14:paraId="04DABA0C" w14:textId="71069B8E" w:rsidR="001B6548" w:rsidRPr="00B724F7" w:rsidRDefault="001B6548" w:rsidP="00F225D4">
            <w:pPr>
              <w:spacing w:after="40"/>
              <w:rPr>
                <w:rFonts w:cstheme="minorHAnsi"/>
                <w:sz w:val="24"/>
                <w:szCs w:val="24"/>
              </w:rPr>
            </w:pPr>
            <w:r w:rsidRPr="00B724F7">
              <w:rPr>
                <w:rFonts w:cstheme="minorHAnsi"/>
                <w:b/>
                <w:bCs/>
                <w:sz w:val="24"/>
                <w:szCs w:val="24"/>
              </w:rPr>
              <w:t>Applicant Type:</w:t>
            </w:r>
          </w:p>
        </w:tc>
        <w:tc>
          <w:tcPr>
            <w:tcW w:w="5845" w:type="dxa"/>
          </w:tcPr>
          <w:p w14:paraId="562016DB" w14:textId="32F748BE" w:rsidR="001B6548" w:rsidRPr="00B724F7" w:rsidRDefault="001B6548" w:rsidP="00F225D4">
            <w:pPr>
              <w:spacing w:after="40"/>
              <w:rPr>
                <w:rFonts w:cstheme="minorHAnsi"/>
                <w:sz w:val="24"/>
                <w:szCs w:val="24"/>
              </w:rPr>
            </w:pPr>
            <w:r w:rsidRPr="00B724F7">
              <w:rPr>
                <w:rFonts w:cstheme="minorHAnsi"/>
                <w:sz w:val="24"/>
                <w:szCs w:val="24"/>
              </w:rPr>
              <w:t>Direct</w:t>
            </w:r>
          </w:p>
        </w:tc>
      </w:tr>
      <w:tr w:rsidR="001B6548" w:rsidRPr="00B724F7" w14:paraId="49885635" w14:textId="77777777" w:rsidTr="001B6548">
        <w:tc>
          <w:tcPr>
            <w:tcW w:w="3505" w:type="dxa"/>
          </w:tcPr>
          <w:p w14:paraId="7B454292" w14:textId="31CFAA91" w:rsidR="001B6548" w:rsidRPr="00B724F7" w:rsidRDefault="001B6548" w:rsidP="00F225D4">
            <w:pPr>
              <w:spacing w:after="40"/>
              <w:rPr>
                <w:rFonts w:cstheme="minorHAnsi"/>
                <w:sz w:val="24"/>
                <w:szCs w:val="24"/>
              </w:rPr>
            </w:pPr>
            <w:r w:rsidRPr="00B724F7">
              <w:rPr>
                <w:rFonts w:cstheme="minorHAnsi"/>
                <w:b/>
                <w:bCs/>
                <w:sz w:val="24"/>
                <w:szCs w:val="24"/>
              </w:rPr>
              <w:t>Participant Enrollment Goal:</w:t>
            </w:r>
          </w:p>
        </w:tc>
        <w:tc>
          <w:tcPr>
            <w:tcW w:w="5845" w:type="dxa"/>
          </w:tcPr>
          <w:p w14:paraId="2B17C25E" w14:textId="09D028C5" w:rsidR="001B6548" w:rsidRPr="00B724F7" w:rsidRDefault="001B6548" w:rsidP="00F225D4">
            <w:pPr>
              <w:spacing w:after="40"/>
              <w:rPr>
                <w:rFonts w:cstheme="minorHAnsi"/>
                <w:sz w:val="24"/>
                <w:szCs w:val="24"/>
              </w:rPr>
            </w:pPr>
            <w:r w:rsidRPr="00B724F7">
              <w:rPr>
                <w:rFonts w:cstheme="minorHAnsi"/>
                <w:sz w:val="24"/>
                <w:szCs w:val="24"/>
              </w:rPr>
              <w:t>300</w:t>
            </w:r>
          </w:p>
        </w:tc>
      </w:tr>
      <w:tr w:rsidR="001B6548" w:rsidRPr="00B724F7" w14:paraId="29794003" w14:textId="77777777" w:rsidTr="001B6548">
        <w:tc>
          <w:tcPr>
            <w:tcW w:w="3505" w:type="dxa"/>
          </w:tcPr>
          <w:p w14:paraId="0E6002BA" w14:textId="781DDE48" w:rsidR="001B6548" w:rsidRPr="00B724F7" w:rsidRDefault="001B6548" w:rsidP="00F225D4">
            <w:pPr>
              <w:spacing w:after="40"/>
              <w:rPr>
                <w:rFonts w:cstheme="minorHAnsi"/>
                <w:sz w:val="24"/>
                <w:szCs w:val="24"/>
              </w:rPr>
            </w:pPr>
            <w:r w:rsidRPr="00B724F7">
              <w:rPr>
                <w:rFonts w:cstheme="minorHAnsi"/>
                <w:b/>
                <w:bCs/>
                <w:sz w:val="24"/>
                <w:szCs w:val="24"/>
              </w:rPr>
              <w:t>Mandatory Partners:</w:t>
            </w:r>
          </w:p>
        </w:tc>
        <w:tc>
          <w:tcPr>
            <w:tcW w:w="5845" w:type="dxa"/>
          </w:tcPr>
          <w:p w14:paraId="14555A63" w14:textId="2DC8D155" w:rsidR="001B6548" w:rsidRPr="00B724F7" w:rsidRDefault="001B6548" w:rsidP="00F225D4">
            <w:pPr>
              <w:spacing w:after="40"/>
              <w:rPr>
                <w:rFonts w:cstheme="minorHAnsi"/>
                <w:sz w:val="24"/>
                <w:szCs w:val="24"/>
              </w:rPr>
            </w:pPr>
            <w:r w:rsidRPr="00B724F7">
              <w:rPr>
                <w:rFonts w:cstheme="minorHAnsi"/>
                <w:sz w:val="24"/>
                <w:szCs w:val="24"/>
              </w:rPr>
              <w:t>Berrien County Jail; Cass County Jail; Van Buren County Jail</w:t>
            </w:r>
          </w:p>
        </w:tc>
      </w:tr>
      <w:tr w:rsidR="001B6548" w:rsidRPr="00B724F7" w14:paraId="6F4DC92C" w14:textId="77777777" w:rsidTr="001B6548">
        <w:tc>
          <w:tcPr>
            <w:tcW w:w="3505" w:type="dxa"/>
          </w:tcPr>
          <w:p w14:paraId="2B9987D6" w14:textId="6B1F5AB6" w:rsidR="001B6548" w:rsidRPr="00B724F7" w:rsidRDefault="001B6548" w:rsidP="00F225D4">
            <w:pPr>
              <w:spacing w:after="40"/>
              <w:rPr>
                <w:rFonts w:cstheme="minorHAnsi"/>
                <w:sz w:val="24"/>
                <w:szCs w:val="24"/>
              </w:rPr>
            </w:pPr>
            <w:r w:rsidRPr="00B724F7">
              <w:rPr>
                <w:rFonts w:cstheme="minorHAnsi"/>
                <w:b/>
                <w:bCs/>
                <w:sz w:val="24"/>
                <w:szCs w:val="24"/>
              </w:rPr>
              <w:t>Target Area(s):</w:t>
            </w:r>
          </w:p>
        </w:tc>
        <w:tc>
          <w:tcPr>
            <w:tcW w:w="5845" w:type="dxa"/>
          </w:tcPr>
          <w:p w14:paraId="3BFCE0ED" w14:textId="3714FA38" w:rsidR="001B6548" w:rsidRPr="00B724F7" w:rsidRDefault="001B6548" w:rsidP="00F225D4">
            <w:pPr>
              <w:spacing w:after="40"/>
              <w:rPr>
                <w:rFonts w:cstheme="minorHAnsi"/>
                <w:sz w:val="24"/>
                <w:szCs w:val="24"/>
              </w:rPr>
            </w:pPr>
            <w:r w:rsidRPr="00B724F7">
              <w:rPr>
                <w:rFonts w:cstheme="minorHAnsi"/>
                <w:sz w:val="24"/>
                <w:szCs w:val="24"/>
              </w:rPr>
              <w:t>Berrien County, MI (urban); Cass County, MI (rural); and Van Buren County, MI (rural)</w:t>
            </w:r>
          </w:p>
        </w:tc>
      </w:tr>
    </w:tbl>
    <w:p w14:paraId="2DAFB86E" w14:textId="77777777" w:rsidR="00F225D4" w:rsidRPr="00B724F7" w:rsidRDefault="00F225D4" w:rsidP="00F225D4">
      <w:pPr>
        <w:spacing w:after="40" w:line="240" w:lineRule="auto"/>
        <w:rPr>
          <w:rFonts w:cstheme="minorHAnsi"/>
          <w:sz w:val="24"/>
          <w:szCs w:val="24"/>
        </w:rPr>
      </w:pPr>
    </w:p>
    <w:p w14:paraId="7F2F7A30" w14:textId="2E5FE63E" w:rsidR="00F92725" w:rsidRPr="00B724F7" w:rsidRDefault="00F225D4" w:rsidP="397EE85F">
      <w:pPr>
        <w:spacing w:after="0" w:line="240" w:lineRule="auto"/>
        <w:rPr>
          <w:rFonts w:cstheme="minorHAnsi"/>
          <w:sz w:val="24"/>
          <w:szCs w:val="24"/>
        </w:rPr>
      </w:pPr>
      <w:r w:rsidRPr="00B724F7">
        <w:rPr>
          <w:rFonts w:cstheme="minorHAnsi"/>
          <w:b/>
          <w:bCs/>
          <w:sz w:val="24"/>
          <w:szCs w:val="24"/>
        </w:rPr>
        <w:t>Project Summary</w:t>
      </w:r>
      <w:proofErr w:type="gramStart"/>
      <w:r w:rsidRPr="00B724F7">
        <w:rPr>
          <w:rFonts w:cstheme="minorHAnsi"/>
          <w:b/>
          <w:bCs/>
          <w:sz w:val="24"/>
          <w:szCs w:val="24"/>
        </w:rPr>
        <w:t>:</w:t>
      </w:r>
      <w:r w:rsidRPr="00B724F7">
        <w:rPr>
          <w:rFonts w:cstheme="minorHAnsi"/>
          <w:sz w:val="24"/>
          <w:szCs w:val="24"/>
        </w:rPr>
        <w:t xml:space="preserve"> </w:t>
      </w:r>
      <w:r w:rsidR="00A21325" w:rsidRPr="00B724F7">
        <w:rPr>
          <w:rFonts w:cstheme="minorHAnsi"/>
          <w:sz w:val="24"/>
          <w:szCs w:val="24"/>
        </w:rPr>
        <w:t xml:space="preserve"> </w:t>
      </w:r>
      <w:r w:rsidR="00F92725" w:rsidRPr="00B724F7">
        <w:rPr>
          <w:rFonts w:cstheme="minorHAnsi"/>
          <w:sz w:val="24"/>
          <w:szCs w:val="24"/>
        </w:rPr>
        <w:t>Berrien</w:t>
      </w:r>
      <w:proofErr w:type="gramEnd"/>
      <w:r w:rsidR="00F92725" w:rsidRPr="00B724F7">
        <w:rPr>
          <w:rFonts w:cstheme="minorHAnsi"/>
          <w:sz w:val="24"/>
          <w:szCs w:val="24"/>
        </w:rPr>
        <w:t xml:space="preserve">-Cass-Van Buren Workforce Development Board </w:t>
      </w:r>
      <w:r w:rsidR="00C21FCA" w:rsidRPr="00B724F7">
        <w:rPr>
          <w:rFonts w:cstheme="minorHAnsi"/>
          <w:sz w:val="24"/>
          <w:szCs w:val="24"/>
        </w:rPr>
        <w:t>(BCVB WDB)</w:t>
      </w:r>
      <w:r w:rsidR="00074672" w:rsidRPr="00B724F7">
        <w:rPr>
          <w:rFonts w:cstheme="minorHAnsi"/>
          <w:sz w:val="24"/>
          <w:szCs w:val="24"/>
        </w:rPr>
        <w:t xml:space="preserve"> </w:t>
      </w:r>
      <w:r w:rsidR="00F92725" w:rsidRPr="00B724F7">
        <w:rPr>
          <w:rFonts w:cstheme="minorHAnsi"/>
          <w:sz w:val="24"/>
          <w:szCs w:val="24"/>
        </w:rPr>
        <w:t xml:space="preserve">will collaborate with local service providers, training programs, and employers to support the successful reentry of justice-involved individuals by providing workforce services before release and continuing support after release. </w:t>
      </w:r>
      <w:r w:rsidR="00074672" w:rsidRPr="00B724F7">
        <w:rPr>
          <w:rFonts w:cstheme="minorHAnsi"/>
          <w:sz w:val="24"/>
          <w:szCs w:val="24"/>
        </w:rPr>
        <w:t xml:space="preserve"> </w:t>
      </w:r>
      <w:r w:rsidR="00F92725" w:rsidRPr="00B724F7">
        <w:rPr>
          <w:rFonts w:cstheme="minorHAnsi"/>
          <w:sz w:val="24"/>
          <w:szCs w:val="24"/>
        </w:rPr>
        <w:t xml:space="preserve">The </w:t>
      </w:r>
      <w:r w:rsidR="00074672" w:rsidRPr="00B724F7">
        <w:rPr>
          <w:rFonts w:cstheme="minorHAnsi"/>
          <w:sz w:val="24"/>
          <w:szCs w:val="24"/>
        </w:rPr>
        <w:t xml:space="preserve">proposed </w:t>
      </w:r>
      <w:r w:rsidR="00F92725" w:rsidRPr="00B724F7">
        <w:rPr>
          <w:rFonts w:cstheme="minorHAnsi"/>
          <w:sz w:val="24"/>
          <w:szCs w:val="24"/>
        </w:rPr>
        <w:t>program will focus on removing employment barriers, expanding access to industry-aligned training, and connecting participants, especially those facing significant labor market barriers, to high-quality, in</w:t>
      </w:r>
      <w:r w:rsidR="06EB5184" w:rsidRPr="00B724F7">
        <w:rPr>
          <w:rFonts w:cstheme="minorHAnsi"/>
          <w:sz w:val="24"/>
          <w:szCs w:val="24"/>
        </w:rPr>
        <w:t xml:space="preserve"> </w:t>
      </w:r>
      <w:r w:rsidR="00F92725" w:rsidRPr="00B724F7">
        <w:rPr>
          <w:rFonts w:cstheme="minorHAnsi"/>
          <w:sz w:val="24"/>
          <w:szCs w:val="24"/>
        </w:rPr>
        <w:t>demand careers. Through partnerships with local employers and unions, the program will ensure</w:t>
      </w:r>
      <w:r w:rsidR="00764847" w:rsidRPr="00B724F7">
        <w:rPr>
          <w:rFonts w:cstheme="minorHAnsi"/>
          <w:sz w:val="24"/>
          <w:szCs w:val="24"/>
        </w:rPr>
        <w:t xml:space="preserve"> </w:t>
      </w:r>
      <w:r w:rsidR="00F92725" w:rsidRPr="00B724F7">
        <w:rPr>
          <w:rFonts w:cstheme="minorHAnsi"/>
          <w:sz w:val="24"/>
          <w:szCs w:val="24"/>
        </w:rPr>
        <w:t>participants gain the skills valued in their target communities,</w:t>
      </w:r>
      <w:r w:rsidR="00764847" w:rsidRPr="00B724F7">
        <w:rPr>
          <w:rFonts w:cstheme="minorHAnsi"/>
          <w:sz w:val="24"/>
          <w:szCs w:val="24"/>
        </w:rPr>
        <w:t xml:space="preserve"> </w:t>
      </w:r>
      <w:r w:rsidR="00F92725" w:rsidRPr="00B724F7">
        <w:rPr>
          <w:rFonts w:cstheme="minorHAnsi"/>
          <w:sz w:val="24"/>
          <w:szCs w:val="24"/>
        </w:rPr>
        <w:t>strengthen the workforce and local economies and reduce recidivism.</w:t>
      </w:r>
    </w:p>
    <w:p w14:paraId="01348D37" w14:textId="77777777" w:rsidR="00F92725" w:rsidRPr="00B724F7" w:rsidRDefault="00F92725" w:rsidP="00AB757A">
      <w:pPr>
        <w:spacing w:after="0" w:line="240" w:lineRule="auto"/>
        <w:rPr>
          <w:rFonts w:cstheme="minorHAnsi"/>
          <w:sz w:val="24"/>
          <w:szCs w:val="24"/>
        </w:rPr>
      </w:pPr>
    </w:p>
    <w:p w14:paraId="5B6F837D" w14:textId="77777777" w:rsidR="00F92725" w:rsidRPr="00B724F7" w:rsidRDefault="00F92725" w:rsidP="00AB757A">
      <w:pPr>
        <w:spacing w:after="0" w:line="240" w:lineRule="auto"/>
        <w:rPr>
          <w:rFonts w:cstheme="minorHAnsi"/>
          <w:sz w:val="24"/>
          <w:szCs w:val="24"/>
        </w:rPr>
      </w:pPr>
      <w:r w:rsidRPr="00B724F7">
        <w:rPr>
          <w:rFonts w:cstheme="minorHAnsi"/>
          <w:sz w:val="24"/>
          <w:szCs w:val="24"/>
        </w:rPr>
        <w:t xml:space="preserve">Program activities include enrolling participants through an intake process, verifying eligibility, </w:t>
      </w:r>
    </w:p>
    <w:p w14:paraId="60143C95" w14:textId="03E22951" w:rsidR="00F92725" w:rsidRPr="00B724F7" w:rsidRDefault="00F92725" w:rsidP="00AB757A">
      <w:pPr>
        <w:spacing w:after="0" w:line="240" w:lineRule="auto"/>
        <w:rPr>
          <w:rFonts w:cstheme="minorHAnsi"/>
          <w:sz w:val="24"/>
          <w:szCs w:val="24"/>
        </w:rPr>
      </w:pPr>
      <w:r w:rsidRPr="00B724F7">
        <w:rPr>
          <w:rFonts w:cstheme="minorHAnsi"/>
          <w:sz w:val="24"/>
          <w:szCs w:val="24"/>
        </w:rPr>
        <w:t xml:space="preserve">and assessing education and career goals. </w:t>
      </w:r>
      <w:r w:rsidR="00301F00" w:rsidRPr="00B724F7">
        <w:rPr>
          <w:rFonts w:cstheme="minorHAnsi"/>
          <w:sz w:val="24"/>
          <w:szCs w:val="24"/>
        </w:rPr>
        <w:t xml:space="preserve"> </w:t>
      </w:r>
      <w:r w:rsidRPr="00B724F7">
        <w:rPr>
          <w:rFonts w:cstheme="minorHAnsi"/>
          <w:sz w:val="24"/>
          <w:szCs w:val="24"/>
        </w:rPr>
        <w:t xml:space="preserve">The program will identify and refer participants to </w:t>
      </w:r>
    </w:p>
    <w:p w14:paraId="5DC26FB8" w14:textId="7BCB2502" w:rsidR="00080029" w:rsidRPr="00B724F7" w:rsidRDefault="00F92725" w:rsidP="00AB757A">
      <w:pPr>
        <w:spacing w:after="0" w:line="240" w:lineRule="auto"/>
        <w:rPr>
          <w:rFonts w:cstheme="minorHAnsi"/>
          <w:sz w:val="24"/>
          <w:szCs w:val="24"/>
        </w:rPr>
      </w:pPr>
      <w:r w:rsidRPr="00B724F7">
        <w:rPr>
          <w:rFonts w:cstheme="minorHAnsi"/>
          <w:sz w:val="24"/>
          <w:szCs w:val="24"/>
        </w:rPr>
        <w:t xml:space="preserve">supportive services, including recovery, mental health, legal aid, and housing assistance. </w:t>
      </w:r>
      <w:r w:rsidR="00301F00" w:rsidRPr="00B724F7">
        <w:rPr>
          <w:rFonts w:cstheme="minorHAnsi"/>
          <w:sz w:val="24"/>
          <w:szCs w:val="24"/>
        </w:rPr>
        <w:t xml:space="preserve"> </w:t>
      </w:r>
      <w:r w:rsidRPr="00B724F7">
        <w:rPr>
          <w:rFonts w:cstheme="minorHAnsi"/>
          <w:sz w:val="24"/>
          <w:szCs w:val="24"/>
        </w:rPr>
        <w:t>Pre</w:t>
      </w:r>
      <w:r w:rsidR="00301F00" w:rsidRPr="00B724F7">
        <w:rPr>
          <w:rFonts w:cstheme="minorHAnsi"/>
          <w:sz w:val="24"/>
          <w:szCs w:val="24"/>
        </w:rPr>
        <w:t>-</w:t>
      </w:r>
      <w:r w:rsidRPr="00B724F7">
        <w:rPr>
          <w:rFonts w:cstheme="minorHAnsi"/>
          <w:sz w:val="24"/>
          <w:szCs w:val="24"/>
        </w:rPr>
        <w:t>release</w:t>
      </w:r>
      <w:r w:rsidR="00301F00" w:rsidRPr="00B724F7">
        <w:rPr>
          <w:rFonts w:cstheme="minorHAnsi"/>
          <w:sz w:val="24"/>
          <w:szCs w:val="24"/>
        </w:rPr>
        <w:t xml:space="preserve"> </w:t>
      </w:r>
      <w:r w:rsidRPr="00B724F7">
        <w:rPr>
          <w:rFonts w:cstheme="minorHAnsi"/>
          <w:sz w:val="24"/>
          <w:szCs w:val="24"/>
        </w:rPr>
        <w:t xml:space="preserve">services will include career planning, job readiness training, and provide local and regional labor market insights to align them with industry needs. and digital and financial literacy education. </w:t>
      </w:r>
      <w:r w:rsidR="000F21DE" w:rsidRPr="00B724F7">
        <w:rPr>
          <w:rFonts w:cstheme="minorHAnsi"/>
          <w:sz w:val="24"/>
          <w:szCs w:val="24"/>
        </w:rPr>
        <w:t xml:space="preserve"> </w:t>
      </w:r>
      <w:r w:rsidRPr="00B724F7">
        <w:rPr>
          <w:rFonts w:cstheme="minorHAnsi"/>
          <w:sz w:val="24"/>
          <w:szCs w:val="24"/>
        </w:rPr>
        <w:t xml:space="preserve">Additionally, participants will be offered pre-release occupational training. </w:t>
      </w:r>
      <w:r w:rsidR="00133F75" w:rsidRPr="00B724F7">
        <w:rPr>
          <w:rFonts w:cstheme="minorHAnsi"/>
          <w:sz w:val="24"/>
          <w:szCs w:val="24"/>
        </w:rPr>
        <w:t xml:space="preserve"> </w:t>
      </w:r>
      <w:r w:rsidRPr="00B724F7">
        <w:rPr>
          <w:rFonts w:cstheme="minorHAnsi"/>
          <w:sz w:val="24"/>
          <w:szCs w:val="24"/>
        </w:rPr>
        <w:t xml:space="preserve">Post-release support will be offered to assist with job placement, retention, and career advancement. </w:t>
      </w:r>
      <w:r w:rsidR="00133F75" w:rsidRPr="00B724F7">
        <w:rPr>
          <w:rFonts w:cstheme="minorHAnsi"/>
          <w:sz w:val="24"/>
          <w:szCs w:val="24"/>
        </w:rPr>
        <w:t xml:space="preserve"> </w:t>
      </w:r>
      <w:r w:rsidR="005A4B12" w:rsidRPr="00B724F7">
        <w:rPr>
          <w:rFonts w:cstheme="minorHAnsi"/>
          <w:sz w:val="24"/>
          <w:szCs w:val="24"/>
        </w:rPr>
        <w:t xml:space="preserve">Michigan Works! </w:t>
      </w:r>
      <w:r w:rsidR="00AB757A" w:rsidRPr="00B724F7">
        <w:rPr>
          <w:rFonts w:cstheme="minorHAnsi"/>
          <w:sz w:val="24"/>
          <w:szCs w:val="24"/>
        </w:rPr>
        <w:t xml:space="preserve">American Job Center (MW AJC) </w:t>
      </w:r>
      <w:r w:rsidRPr="00B724F7">
        <w:rPr>
          <w:rFonts w:cstheme="minorHAnsi"/>
          <w:sz w:val="24"/>
          <w:szCs w:val="24"/>
        </w:rPr>
        <w:t xml:space="preserve">staff will collaborate with employers to ensure occupational training is relevant to industry needs. </w:t>
      </w:r>
      <w:r w:rsidR="00AB757A" w:rsidRPr="00B724F7">
        <w:rPr>
          <w:rFonts w:cstheme="minorHAnsi"/>
          <w:sz w:val="24"/>
          <w:szCs w:val="24"/>
        </w:rPr>
        <w:t xml:space="preserve"> </w:t>
      </w:r>
      <w:r w:rsidRPr="00B724F7">
        <w:rPr>
          <w:rFonts w:cstheme="minorHAnsi"/>
          <w:sz w:val="24"/>
          <w:szCs w:val="24"/>
        </w:rPr>
        <w:t xml:space="preserve">PH6 participants will have access to job preparation/readiness training post-release at the MW </w:t>
      </w:r>
      <w:r w:rsidR="00AB757A" w:rsidRPr="00B724F7">
        <w:rPr>
          <w:rFonts w:cstheme="minorHAnsi"/>
          <w:sz w:val="24"/>
          <w:szCs w:val="24"/>
        </w:rPr>
        <w:t>AJC</w:t>
      </w:r>
      <w:r w:rsidRPr="00B724F7">
        <w:rPr>
          <w:rFonts w:cstheme="minorHAnsi"/>
          <w:sz w:val="24"/>
          <w:szCs w:val="24"/>
        </w:rPr>
        <w:t xml:space="preserve"> using Career Academy curriculum. </w:t>
      </w:r>
      <w:r w:rsidR="00AB757A" w:rsidRPr="00B724F7">
        <w:rPr>
          <w:rFonts w:cstheme="minorHAnsi"/>
          <w:sz w:val="24"/>
          <w:szCs w:val="24"/>
        </w:rPr>
        <w:t xml:space="preserve"> </w:t>
      </w:r>
      <w:r w:rsidRPr="00B724F7">
        <w:rPr>
          <w:rFonts w:cstheme="minorHAnsi"/>
          <w:sz w:val="24"/>
          <w:szCs w:val="24"/>
        </w:rPr>
        <w:t>All participants will maintain the same case manager, pre- and post-release, to assist in overcoming barriers.</w:t>
      </w:r>
    </w:p>
    <w:p w14:paraId="7E9E3FB8" w14:textId="77777777" w:rsidR="00A21325" w:rsidRPr="00B724F7" w:rsidRDefault="00A21325" w:rsidP="00F225D4">
      <w:pPr>
        <w:spacing w:after="40" w:line="240" w:lineRule="auto"/>
        <w:rPr>
          <w:rFonts w:cstheme="minorHAnsi"/>
        </w:rPr>
      </w:pPr>
    </w:p>
    <w:p w14:paraId="34C907BA" w14:textId="574972C9" w:rsidR="00050BAC" w:rsidRPr="00B724F7" w:rsidRDefault="00F225D4" w:rsidP="00F225D4">
      <w:pPr>
        <w:spacing w:after="40" w:line="240" w:lineRule="auto"/>
        <w:rPr>
          <w:rFonts w:cstheme="minorHAnsi"/>
          <w:color w:val="000000" w:themeColor="text1"/>
          <w:sz w:val="24"/>
          <w:szCs w:val="24"/>
        </w:rPr>
      </w:pPr>
      <w:r w:rsidRPr="00B724F7">
        <w:rPr>
          <w:rFonts w:cstheme="minorHAnsi"/>
          <w:color w:val="000000" w:themeColor="text1"/>
          <w:sz w:val="24"/>
          <w:szCs w:val="24"/>
        </w:rPr>
        <w:t xml:space="preserve">The </w:t>
      </w:r>
      <w:r w:rsidRPr="00B724F7">
        <w:rPr>
          <w:rFonts w:cstheme="minorHAnsi"/>
          <w:b/>
          <w:bCs/>
          <w:color w:val="000000" w:themeColor="text1"/>
          <w:sz w:val="24"/>
          <w:szCs w:val="24"/>
        </w:rPr>
        <w:t>proposed outcomes</w:t>
      </w:r>
      <w:r w:rsidRPr="00B724F7">
        <w:rPr>
          <w:rFonts w:cstheme="minorHAnsi"/>
          <w:color w:val="000000" w:themeColor="text1"/>
          <w:sz w:val="24"/>
          <w:szCs w:val="24"/>
        </w:rPr>
        <w:t xml:space="preserve"> are: </w:t>
      </w:r>
      <w:bookmarkStart w:id="2" w:name="_Hlk169277117"/>
      <w:bookmarkStart w:id="3" w:name="_Hlk169174799"/>
      <w:r w:rsidRPr="00B724F7">
        <w:rPr>
          <w:rFonts w:cstheme="minorHAnsi"/>
          <w:sz w:val="24"/>
          <w:szCs w:val="24"/>
        </w:rPr>
        <w:t xml:space="preserve">55% employment rate 2nd quarter after exit; 45% employment rate 4th quarter after exit; </w:t>
      </w:r>
      <w:r w:rsidR="00DF45CD" w:rsidRPr="00B724F7">
        <w:rPr>
          <w:rFonts w:cstheme="minorHAnsi"/>
          <w:sz w:val="24"/>
          <w:szCs w:val="24"/>
        </w:rPr>
        <w:t xml:space="preserve">$6,000 </w:t>
      </w:r>
      <w:r w:rsidRPr="00B724F7">
        <w:rPr>
          <w:rFonts w:cstheme="minorHAnsi"/>
          <w:sz w:val="24"/>
          <w:szCs w:val="24"/>
        </w:rPr>
        <w:t xml:space="preserve">median earnings 2nd quarter after exit; 60% credential attainment; 65% measurable skill gains; and less than </w:t>
      </w:r>
      <w:r w:rsidR="002E60BF" w:rsidRPr="00B724F7">
        <w:rPr>
          <w:rFonts w:cstheme="minorHAnsi"/>
          <w:sz w:val="24"/>
          <w:szCs w:val="24"/>
        </w:rPr>
        <w:t>23.7</w:t>
      </w:r>
      <w:r w:rsidRPr="00B724F7">
        <w:rPr>
          <w:rFonts w:cstheme="minorHAnsi"/>
          <w:sz w:val="24"/>
          <w:szCs w:val="24"/>
        </w:rPr>
        <w:t>% recidivism</w:t>
      </w:r>
      <w:bookmarkEnd w:id="2"/>
      <w:r w:rsidRPr="00B724F7">
        <w:rPr>
          <w:rFonts w:cstheme="minorHAnsi"/>
          <w:sz w:val="24"/>
          <w:szCs w:val="24"/>
        </w:rPr>
        <w:t>.</w:t>
      </w:r>
      <w:bookmarkEnd w:id="3"/>
    </w:p>
    <w:p w14:paraId="35A14B4B" w14:textId="01080160" w:rsidR="00050BAC" w:rsidRPr="003756C6" w:rsidRDefault="00050BAC" w:rsidP="003756C6">
      <w:pPr>
        <w:pStyle w:val="Heading1"/>
        <w:rPr>
          <w:b/>
          <w:bCs/>
        </w:rPr>
      </w:pPr>
      <w:r w:rsidRPr="002D60D8">
        <w:rPr>
          <w:rFonts w:asciiTheme="minorHAnsi" w:hAnsiTheme="minorHAnsi" w:cstheme="minorHAnsi"/>
          <w:color w:val="000000" w:themeColor="text1"/>
        </w:rPr>
        <w:br w:type="page"/>
      </w:r>
      <w:bookmarkStart w:id="4" w:name="_Toc219121421"/>
      <w:r w:rsidR="003756C6">
        <w:rPr>
          <w:b/>
          <w:bCs/>
          <w:color w:val="538135" w:themeColor="accent6" w:themeShade="BF"/>
          <w:sz w:val="28"/>
          <w:szCs w:val="28"/>
        </w:rPr>
        <w:lastRenderedPageBreak/>
        <w:t>Dress for Success Phoenix</w:t>
      </w:r>
      <w:bookmarkEnd w:id="4"/>
    </w:p>
    <w:p w14:paraId="07D24F32" w14:textId="65851121" w:rsidR="00050BAC" w:rsidRDefault="003756C6" w:rsidP="006C44ED">
      <w:pPr>
        <w:spacing w:after="0" w:line="240" w:lineRule="auto"/>
        <w:rPr>
          <w:rFonts w:cstheme="minorHAnsi"/>
          <w:color w:val="2F5496" w:themeColor="accent1" w:themeShade="BF"/>
          <w:sz w:val="24"/>
          <w:szCs w:val="24"/>
        </w:rPr>
      </w:pPr>
      <w:r w:rsidRPr="002D60D8">
        <w:rPr>
          <w:rFonts w:cstheme="minorHAnsi"/>
          <w:color w:val="2F5496" w:themeColor="accent1" w:themeShade="BF"/>
          <w:sz w:val="24"/>
          <w:szCs w:val="24"/>
        </w:rPr>
        <w:t>Phoenix</w:t>
      </w:r>
      <w:r w:rsidR="006C44ED" w:rsidRPr="002D60D8">
        <w:rPr>
          <w:rFonts w:cstheme="minorHAnsi"/>
          <w:color w:val="2F5496" w:themeColor="accent1" w:themeShade="BF"/>
          <w:sz w:val="24"/>
          <w:szCs w:val="24"/>
        </w:rPr>
        <w:t>, AZ</w:t>
      </w:r>
    </w:p>
    <w:p w14:paraId="7176A90C" w14:textId="77777777" w:rsidR="001B6548" w:rsidRPr="002D60D8" w:rsidRDefault="001B6548" w:rsidP="006C44ED">
      <w:pPr>
        <w:spacing w:after="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51D488CF" w14:textId="77777777" w:rsidTr="00F93D74">
        <w:tc>
          <w:tcPr>
            <w:tcW w:w="3505" w:type="dxa"/>
          </w:tcPr>
          <w:p w14:paraId="044B4C25"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57B4E57B" w14:textId="2DD69806" w:rsidR="001B6548" w:rsidRDefault="001B6548" w:rsidP="00F93D74">
            <w:pPr>
              <w:spacing w:after="40"/>
              <w:rPr>
                <w:rFonts w:cstheme="minorHAnsi"/>
                <w:sz w:val="24"/>
                <w:szCs w:val="24"/>
              </w:rPr>
            </w:pPr>
            <w:r w:rsidRPr="002D60D8">
              <w:rPr>
                <w:rFonts w:cstheme="minorHAnsi"/>
                <w:sz w:val="24"/>
                <w:szCs w:val="24"/>
              </w:rPr>
              <w:t>$</w:t>
            </w:r>
            <w:r>
              <w:rPr>
                <w:rFonts w:cstheme="minorHAnsi"/>
                <w:sz w:val="24"/>
                <w:szCs w:val="24"/>
              </w:rPr>
              <w:t>4,000,000</w:t>
            </w:r>
          </w:p>
        </w:tc>
      </w:tr>
      <w:tr w:rsidR="001B6548" w14:paraId="00863496" w14:textId="77777777" w:rsidTr="00F93D74">
        <w:tc>
          <w:tcPr>
            <w:tcW w:w="3505" w:type="dxa"/>
          </w:tcPr>
          <w:p w14:paraId="619140F8"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1C7646C8" w14:textId="77777777" w:rsidR="001B6548" w:rsidRDefault="001B6548" w:rsidP="00F93D74">
            <w:pPr>
              <w:spacing w:after="40"/>
              <w:rPr>
                <w:rFonts w:cstheme="minorHAnsi"/>
                <w:sz w:val="24"/>
                <w:szCs w:val="24"/>
              </w:rPr>
            </w:pPr>
            <w:r w:rsidRPr="002D60D8">
              <w:rPr>
                <w:rFonts w:cstheme="minorHAnsi"/>
                <w:sz w:val="24"/>
                <w:szCs w:val="24"/>
              </w:rPr>
              <w:t>Direct</w:t>
            </w:r>
          </w:p>
        </w:tc>
      </w:tr>
      <w:tr w:rsidR="001B6548" w14:paraId="4B76F14E" w14:textId="77777777" w:rsidTr="00F93D74">
        <w:tc>
          <w:tcPr>
            <w:tcW w:w="3505" w:type="dxa"/>
          </w:tcPr>
          <w:p w14:paraId="379C0E5F"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78E02EF9" w14:textId="7E1CC14B" w:rsidR="001B6548" w:rsidRDefault="001B6548" w:rsidP="00F93D74">
            <w:pPr>
              <w:spacing w:after="40"/>
              <w:rPr>
                <w:rFonts w:cstheme="minorHAnsi"/>
                <w:sz w:val="24"/>
                <w:szCs w:val="24"/>
              </w:rPr>
            </w:pPr>
            <w:r>
              <w:rPr>
                <w:rFonts w:cstheme="minorHAnsi"/>
                <w:sz w:val="24"/>
                <w:szCs w:val="24"/>
              </w:rPr>
              <w:t>425</w:t>
            </w:r>
          </w:p>
        </w:tc>
      </w:tr>
      <w:tr w:rsidR="001B6548" w14:paraId="6696EEE4" w14:textId="77777777" w:rsidTr="00F93D74">
        <w:tc>
          <w:tcPr>
            <w:tcW w:w="3505" w:type="dxa"/>
          </w:tcPr>
          <w:p w14:paraId="2D141813"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76EC6977" w14:textId="1D0E2331" w:rsidR="001B6548" w:rsidRDefault="001B6548" w:rsidP="00F93D74">
            <w:pPr>
              <w:spacing w:after="40"/>
              <w:rPr>
                <w:rFonts w:cstheme="minorHAnsi"/>
                <w:sz w:val="24"/>
                <w:szCs w:val="24"/>
              </w:rPr>
            </w:pPr>
            <w:r>
              <w:rPr>
                <w:rFonts w:cstheme="minorHAnsi"/>
                <w:sz w:val="24"/>
                <w:szCs w:val="24"/>
              </w:rPr>
              <w:t>Arizona Dept. of Corrections Prison Complex - Perryville</w:t>
            </w:r>
          </w:p>
        </w:tc>
      </w:tr>
      <w:tr w:rsidR="001B6548" w14:paraId="5AA2026E" w14:textId="77777777" w:rsidTr="00F93D74">
        <w:tc>
          <w:tcPr>
            <w:tcW w:w="3505" w:type="dxa"/>
          </w:tcPr>
          <w:p w14:paraId="475799FD"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06BB4DBD" w14:textId="29E322A3" w:rsidR="001B6548" w:rsidRDefault="001B6548" w:rsidP="00F93D74">
            <w:pPr>
              <w:spacing w:after="40"/>
              <w:rPr>
                <w:rFonts w:cstheme="minorHAnsi"/>
                <w:sz w:val="24"/>
                <w:szCs w:val="24"/>
              </w:rPr>
            </w:pPr>
            <w:r>
              <w:rPr>
                <w:rFonts w:cstheme="minorHAnsi"/>
                <w:sz w:val="24"/>
                <w:szCs w:val="24"/>
              </w:rPr>
              <w:t>Maricopa County, AZ</w:t>
            </w:r>
          </w:p>
        </w:tc>
      </w:tr>
    </w:tbl>
    <w:p w14:paraId="3B33065D" w14:textId="77777777" w:rsidR="003756C6" w:rsidRPr="002D60D8" w:rsidRDefault="003756C6" w:rsidP="003756C6">
      <w:pPr>
        <w:spacing w:after="40" w:line="240" w:lineRule="auto"/>
        <w:rPr>
          <w:rFonts w:cstheme="minorHAnsi"/>
          <w:sz w:val="24"/>
          <w:szCs w:val="24"/>
        </w:rPr>
      </w:pPr>
    </w:p>
    <w:p w14:paraId="17C6AD23" w14:textId="6324C1BD" w:rsidR="002D64B6" w:rsidRPr="000F2943" w:rsidRDefault="003756C6" w:rsidP="000F2943">
      <w:pPr>
        <w:spacing w:after="0" w:line="240" w:lineRule="auto"/>
        <w:rPr>
          <w:rFonts w:cstheme="minorHAnsi"/>
          <w:sz w:val="24"/>
          <w:szCs w:val="24"/>
        </w:rPr>
      </w:pPr>
      <w:r w:rsidRPr="000F2943">
        <w:rPr>
          <w:rFonts w:cstheme="minorHAnsi"/>
          <w:b/>
          <w:bCs/>
          <w:sz w:val="24"/>
          <w:szCs w:val="24"/>
        </w:rPr>
        <w:t>Project Summary:</w:t>
      </w:r>
      <w:r w:rsidRPr="000F2943">
        <w:rPr>
          <w:rFonts w:cstheme="minorHAnsi"/>
          <w:sz w:val="24"/>
          <w:szCs w:val="24"/>
        </w:rPr>
        <w:t xml:space="preserve">  The purpose of this project is </w:t>
      </w:r>
      <w:r w:rsidR="006A779E" w:rsidRPr="000F2943">
        <w:rPr>
          <w:rFonts w:cstheme="minorHAnsi"/>
          <w:sz w:val="24"/>
          <w:szCs w:val="24"/>
        </w:rPr>
        <w:t xml:space="preserve">to create the Helping Open Pathways to Employment (HOPE) Center, which will provide job readiness and reentry services for women exiting Arizona Department of Corrections Prison Complex – Perryville (“Perryville”) in Maricopa County, Arizona. </w:t>
      </w:r>
      <w:r w:rsidR="000F2943">
        <w:rPr>
          <w:rFonts w:cstheme="minorHAnsi"/>
          <w:sz w:val="24"/>
          <w:szCs w:val="24"/>
        </w:rPr>
        <w:t xml:space="preserve"> </w:t>
      </w:r>
      <w:r w:rsidR="002D64B6" w:rsidRPr="000F2943">
        <w:rPr>
          <w:rFonts w:cstheme="minorHAnsi"/>
          <w:sz w:val="24"/>
          <w:szCs w:val="24"/>
        </w:rPr>
        <w:t xml:space="preserve">The HOPE Center will offer services and resource connections for women exiting Perryville to obtain employment and reenter their communities with skills needed to thrive. </w:t>
      </w:r>
      <w:r w:rsidR="00233D14">
        <w:rPr>
          <w:rFonts w:cstheme="minorHAnsi"/>
          <w:sz w:val="24"/>
          <w:szCs w:val="24"/>
        </w:rPr>
        <w:t xml:space="preserve"> </w:t>
      </w:r>
      <w:r w:rsidR="002D64B6" w:rsidRPr="000F2943">
        <w:rPr>
          <w:rFonts w:cstheme="minorHAnsi"/>
          <w:sz w:val="24"/>
          <w:szCs w:val="24"/>
        </w:rPr>
        <w:t xml:space="preserve">Located within Perryville and staffed weekly by </w:t>
      </w:r>
      <w:r w:rsidR="000F2943" w:rsidRPr="000F2943">
        <w:rPr>
          <w:rFonts w:cstheme="minorHAnsi"/>
          <w:sz w:val="24"/>
          <w:szCs w:val="24"/>
        </w:rPr>
        <w:t>Dress for Success Phoenix (</w:t>
      </w:r>
      <w:r w:rsidR="002D64B6" w:rsidRPr="000F2943">
        <w:rPr>
          <w:rFonts w:cstheme="minorHAnsi"/>
          <w:sz w:val="24"/>
          <w:szCs w:val="24"/>
        </w:rPr>
        <w:t>DFSP</w:t>
      </w:r>
      <w:r w:rsidR="000F2943" w:rsidRPr="000F2943">
        <w:rPr>
          <w:rFonts w:cstheme="minorHAnsi"/>
          <w:sz w:val="24"/>
          <w:szCs w:val="24"/>
        </w:rPr>
        <w:t>)</w:t>
      </w:r>
      <w:r w:rsidR="002D64B6" w:rsidRPr="000F2943">
        <w:rPr>
          <w:rFonts w:cstheme="minorHAnsi"/>
          <w:sz w:val="24"/>
          <w:szCs w:val="24"/>
        </w:rPr>
        <w:t xml:space="preserve"> staff and Case Managers, the HOPE Center will provide participants with internal job readiness learning and holistic wrap around support after exit, connecting participants to a network of employer partners to promote reentry success and reduce recidivism.</w:t>
      </w:r>
    </w:p>
    <w:p w14:paraId="0C7E9A75" w14:textId="77777777" w:rsidR="003756C6" w:rsidRPr="000F2943" w:rsidRDefault="003756C6" w:rsidP="000F2943">
      <w:pPr>
        <w:spacing w:after="0" w:line="240" w:lineRule="auto"/>
        <w:rPr>
          <w:rFonts w:cstheme="minorHAnsi"/>
          <w:sz w:val="24"/>
          <w:szCs w:val="24"/>
        </w:rPr>
      </w:pPr>
    </w:p>
    <w:p w14:paraId="1E175A30" w14:textId="123FBF48" w:rsidR="006F4674" w:rsidRPr="000F2943" w:rsidRDefault="00AB4778" w:rsidP="000F2943">
      <w:pPr>
        <w:spacing w:after="0" w:line="240" w:lineRule="auto"/>
        <w:rPr>
          <w:rFonts w:cstheme="minorHAnsi"/>
          <w:sz w:val="24"/>
          <w:szCs w:val="24"/>
        </w:rPr>
      </w:pPr>
      <w:r w:rsidRPr="000F2943">
        <w:rPr>
          <w:rFonts w:cstheme="minorHAnsi"/>
          <w:sz w:val="24"/>
          <w:szCs w:val="24"/>
        </w:rPr>
        <w:t xml:space="preserve">Pre-release, participants will access comprehensive career development training including in-person consultations and training with DFS Case Managers. </w:t>
      </w:r>
      <w:r w:rsidR="00233D14">
        <w:rPr>
          <w:rFonts w:cstheme="minorHAnsi"/>
          <w:sz w:val="24"/>
          <w:szCs w:val="24"/>
        </w:rPr>
        <w:t xml:space="preserve"> </w:t>
      </w:r>
      <w:r w:rsidRPr="000F2943">
        <w:rPr>
          <w:rFonts w:cstheme="minorHAnsi"/>
          <w:sz w:val="24"/>
          <w:szCs w:val="24"/>
        </w:rPr>
        <w:t>Meetings include in-person career readiness training (job search techniques, soft skills, and more), building of Individual Development Plans (IDPs), identification of appropriate app-based learning sessions, and ongoing tracking of progress within the program.</w:t>
      </w:r>
      <w:r w:rsidR="000F2943" w:rsidRPr="000F2943">
        <w:rPr>
          <w:rFonts w:cstheme="minorHAnsi"/>
          <w:sz w:val="24"/>
          <w:szCs w:val="24"/>
        </w:rPr>
        <w:t xml:space="preserve">  </w:t>
      </w:r>
      <w:r w:rsidR="00AE59A0" w:rsidRPr="000F2943">
        <w:rPr>
          <w:rFonts w:cstheme="minorHAnsi"/>
          <w:sz w:val="24"/>
          <w:szCs w:val="24"/>
        </w:rPr>
        <w:t>Participants will gain access to in-app educational curriculum including employability, job readiness, digital literacy, job search strategies, interpersonal communication, career building training, and can complete up to 80 hours of self-paced career training in the months leading up to their exit from Perryville, with specific courses assigned in IDPs.</w:t>
      </w:r>
      <w:r w:rsidR="000F2943" w:rsidRPr="000F2943">
        <w:rPr>
          <w:rFonts w:cstheme="minorHAnsi"/>
          <w:sz w:val="24"/>
          <w:szCs w:val="24"/>
        </w:rPr>
        <w:t xml:space="preserve">  </w:t>
      </w:r>
      <w:r w:rsidR="006F4674" w:rsidRPr="000F2943">
        <w:rPr>
          <w:rFonts w:cstheme="minorHAnsi"/>
          <w:sz w:val="24"/>
          <w:szCs w:val="24"/>
        </w:rPr>
        <w:t xml:space="preserve">During their </w:t>
      </w:r>
      <w:proofErr w:type="gramStart"/>
      <w:r w:rsidR="006F4674" w:rsidRPr="000F2943">
        <w:rPr>
          <w:rFonts w:cstheme="minorHAnsi"/>
          <w:sz w:val="24"/>
          <w:szCs w:val="24"/>
        </w:rPr>
        <w:t>exit</w:t>
      </w:r>
      <w:proofErr w:type="gramEnd"/>
      <w:r w:rsidR="006F4674" w:rsidRPr="000F2943">
        <w:rPr>
          <w:rFonts w:cstheme="minorHAnsi"/>
          <w:sz w:val="24"/>
          <w:szCs w:val="24"/>
        </w:rPr>
        <w:t xml:space="preserve"> from Perryville, DFSP will conduct personal outfitting sessions that will include providing professional occupational attire and everyday wear to support successful transitions. </w:t>
      </w:r>
      <w:r w:rsidR="00233D14">
        <w:rPr>
          <w:rFonts w:cstheme="minorHAnsi"/>
          <w:sz w:val="24"/>
          <w:szCs w:val="24"/>
        </w:rPr>
        <w:t xml:space="preserve"> </w:t>
      </w:r>
      <w:r w:rsidR="006F4674" w:rsidRPr="000F2943">
        <w:rPr>
          <w:rFonts w:cstheme="minorHAnsi"/>
          <w:sz w:val="24"/>
          <w:szCs w:val="24"/>
        </w:rPr>
        <w:t>DFSP utilizes local shelters, food banks, and nonprofits to meet the immediate needs of participants for the first 72 hours after exit, as well as daily check-ins and financial assistance.</w:t>
      </w:r>
    </w:p>
    <w:p w14:paraId="312D5872" w14:textId="77777777" w:rsidR="00AE59A0" w:rsidRPr="002D60D8" w:rsidRDefault="00AE59A0" w:rsidP="003756C6">
      <w:pPr>
        <w:spacing w:after="40" w:line="240" w:lineRule="auto"/>
        <w:rPr>
          <w:rFonts w:cstheme="minorHAnsi"/>
        </w:rPr>
      </w:pPr>
    </w:p>
    <w:p w14:paraId="5072F793" w14:textId="7455279E" w:rsidR="007F7F33" w:rsidRDefault="003756C6" w:rsidP="00233D14">
      <w:pPr>
        <w:spacing w:after="40" w:line="240" w:lineRule="auto"/>
        <w:rPr>
          <w:rFonts w:cstheme="minorHAnsi"/>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are: </w:t>
      </w:r>
      <w:r w:rsidRPr="00C67AA6">
        <w:rPr>
          <w:rFonts w:cstheme="minorHAnsi"/>
          <w:sz w:val="24"/>
          <w:szCs w:val="24"/>
        </w:rPr>
        <w:t xml:space="preserve">55% employment rate 2nd quarter after exit; 45% employment rate 4th quarter after exit; </w:t>
      </w:r>
      <w:r w:rsidR="00233D14">
        <w:rPr>
          <w:rFonts w:cstheme="minorHAnsi"/>
          <w:sz w:val="24"/>
          <w:szCs w:val="24"/>
        </w:rPr>
        <w:t xml:space="preserve">$6,000 </w:t>
      </w:r>
      <w:r w:rsidRPr="00C67AA6">
        <w:rPr>
          <w:rFonts w:cstheme="minorHAnsi"/>
          <w:sz w:val="24"/>
          <w:szCs w:val="24"/>
        </w:rPr>
        <w:t xml:space="preserve">median earnings 2nd quarter after exit; 60% credential attainment; </w:t>
      </w:r>
      <w:r w:rsidR="007D0327">
        <w:rPr>
          <w:rFonts w:cstheme="minorHAnsi"/>
          <w:sz w:val="24"/>
          <w:szCs w:val="24"/>
        </w:rPr>
        <w:t>80</w:t>
      </w:r>
      <w:r w:rsidRPr="00C67AA6">
        <w:rPr>
          <w:rFonts w:cstheme="minorHAnsi"/>
          <w:sz w:val="24"/>
          <w:szCs w:val="24"/>
        </w:rPr>
        <w:t xml:space="preserve">% measurable skill gains; </w:t>
      </w:r>
      <w:r w:rsidR="00AE5754">
        <w:rPr>
          <w:rFonts w:cstheme="minorHAnsi"/>
          <w:sz w:val="24"/>
          <w:szCs w:val="24"/>
        </w:rPr>
        <w:t xml:space="preserve">50% retainment with the same employer 6 months after exit; </w:t>
      </w:r>
      <w:r w:rsidRPr="00C67AA6">
        <w:rPr>
          <w:rFonts w:cstheme="minorHAnsi"/>
          <w:sz w:val="24"/>
          <w:szCs w:val="24"/>
        </w:rPr>
        <w:t xml:space="preserve">and less than </w:t>
      </w:r>
      <w:r w:rsidR="00AE5754">
        <w:rPr>
          <w:rFonts w:cstheme="minorHAnsi"/>
          <w:sz w:val="24"/>
          <w:szCs w:val="24"/>
        </w:rPr>
        <w:t>31</w:t>
      </w:r>
      <w:r w:rsidRPr="00C67AA6">
        <w:rPr>
          <w:rFonts w:cstheme="minorHAnsi"/>
          <w:sz w:val="24"/>
          <w:szCs w:val="24"/>
        </w:rPr>
        <w:t>% recidivism.</w:t>
      </w:r>
      <w:r w:rsidR="00F65A38">
        <w:rPr>
          <w:rFonts w:cstheme="minorHAnsi"/>
          <w:sz w:val="24"/>
          <w:szCs w:val="24"/>
        </w:rPr>
        <w:t xml:space="preserve">  In addition to the WIOA Primary Indicators of Performance goals and the REO-specific performance goals, </w:t>
      </w:r>
      <w:r w:rsidR="007703E5">
        <w:rPr>
          <w:rFonts w:cstheme="minorHAnsi"/>
          <w:sz w:val="24"/>
          <w:szCs w:val="24"/>
        </w:rPr>
        <w:t>DFSP</w:t>
      </w:r>
      <w:r w:rsidR="00F65A38">
        <w:rPr>
          <w:rFonts w:cstheme="minorHAnsi"/>
          <w:sz w:val="24"/>
          <w:szCs w:val="24"/>
        </w:rPr>
        <w:t xml:space="preserve"> has proposed an additional outcome:</w:t>
      </w:r>
      <w:r w:rsidR="005F7D56">
        <w:rPr>
          <w:rFonts w:cstheme="minorHAnsi"/>
          <w:sz w:val="24"/>
          <w:szCs w:val="24"/>
        </w:rPr>
        <w:t xml:space="preserve"> </w:t>
      </w:r>
      <w:r w:rsidR="005F7D56" w:rsidRPr="005F7D56">
        <w:rPr>
          <w:rFonts w:cstheme="minorHAnsi"/>
          <w:sz w:val="24"/>
          <w:szCs w:val="24"/>
        </w:rPr>
        <w:t>50% of employers will request more than one referral through the program.</w:t>
      </w:r>
    </w:p>
    <w:p w14:paraId="7E07F0F5" w14:textId="77777777" w:rsidR="001B6548" w:rsidRPr="00233D14" w:rsidRDefault="001B6548" w:rsidP="00233D14">
      <w:pPr>
        <w:spacing w:after="40" w:line="240" w:lineRule="auto"/>
        <w:rPr>
          <w:rFonts w:cstheme="minorHAnsi"/>
          <w:color w:val="000000" w:themeColor="text1"/>
          <w:sz w:val="24"/>
          <w:szCs w:val="24"/>
        </w:rPr>
      </w:pPr>
    </w:p>
    <w:p w14:paraId="2076D922" w14:textId="1895A312" w:rsidR="00050BAC" w:rsidRPr="00881A3E" w:rsidRDefault="00050BAC" w:rsidP="028B06BA">
      <w:pPr>
        <w:pStyle w:val="Heading1"/>
        <w:rPr>
          <w:b/>
          <w:bCs/>
          <w:color w:val="538135" w:themeColor="accent6" w:themeShade="BF"/>
          <w:sz w:val="28"/>
          <w:szCs w:val="28"/>
        </w:rPr>
      </w:pPr>
    </w:p>
    <w:p w14:paraId="2208824C" w14:textId="1605C81A" w:rsidR="00050BAC" w:rsidRPr="00881A3E" w:rsidRDefault="00881A3E" w:rsidP="028B06BA">
      <w:r>
        <w:br w:type="page"/>
      </w:r>
    </w:p>
    <w:p w14:paraId="7DCC7A3C" w14:textId="7F19D080" w:rsidR="00050BAC" w:rsidRPr="00881A3E" w:rsidRDefault="00881A3E" w:rsidP="00881A3E">
      <w:pPr>
        <w:pStyle w:val="Heading1"/>
        <w:rPr>
          <w:b/>
          <w:bCs/>
          <w:color w:val="538135" w:themeColor="accent6" w:themeShade="BF"/>
          <w:sz w:val="28"/>
          <w:szCs w:val="28"/>
        </w:rPr>
      </w:pPr>
      <w:bookmarkStart w:id="5" w:name="_Toc219121422"/>
      <w:r w:rsidRPr="028B06BA">
        <w:rPr>
          <w:b/>
          <w:bCs/>
          <w:color w:val="538135" w:themeColor="accent6" w:themeShade="BF"/>
          <w:sz w:val="28"/>
          <w:szCs w:val="28"/>
        </w:rPr>
        <w:lastRenderedPageBreak/>
        <w:t>Employ Prince George’s Inc.</w:t>
      </w:r>
      <w:bookmarkEnd w:id="5"/>
    </w:p>
    <w:p w14:paraId="287A5BFD" w14:textId="2A35F670" w:rsidR="00050BAC" w:rsidRPr="002D60D8" w:rsidRDefault="00881A3E" w:rsidP="00050BAC">
      <w:pPr>
        <w:spacing w:after="40" w:line="240" w:lineRule="auto"/>
        <w:rPr>
          <w:rFonts w:cstheme="minorHAnsi"/>
          <w:sz w:val="24"/>
          <w:szCs w:val="24"/>
        </w:rPr>
      </w:pPr>
      <w:r w:rsidRPr="002D60D8">
        <w:rPr>
          <w:rFonts w:cstheme="minorHAnsi"/>
          <w:color w:val="2F5496" w:themeColor="accent1" w:themeShade="BF"/>
          <w:sz w:val="24"/>
          <w:szCs w:val="24"/>
        </w:rPr>
        <w:t>Largo, MD</w:t>
      </w:r>
    </w:p>
    <w:p w14:paraId="7927CD0D" w14:textId="77777777" w:rsidR="00050BAC" w:rsidRDefault="00050BAC" w:rsidP="00050BAC">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2A676A8D" w14:textId="77777777" w:rsidTr="00F93D74">
        <w:tc>
          <w:tcPr>
            <w:tcW w:w="3505" w:type="dxa"/>
          </w:tcPr>
          <w:p w14:paraId="19E641DF"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3179D830" w14:textId="2ECCA1C2" w:rsidR="001B6548" w:rsidRDefault="001B6548" w:rsidP="00F93D74">
            <w:pPr>
              <w:spacing w:after="40"/>
              <w:rPr>
                <w:rFonts w:cstheme="minorHAnsi"/>
                <w:sz w:val="24"/>
                <w:szCs w:val="24"/>
              </w:rPr>
            </w:pPr>
            <w:r w:rsidRPr="002D60D8">
              <w:rPr>
                <w:rFonts w:cstheme="minorHAnsi"/>
                <w:sz w:val="24"/>
                <w:szCs w:val="24"/>
              </w:rPr>
              <w:t>$2,883,773</w:t>
            </w:r>
          </w:p>
        </w:tc>
      </w:tr>
      <w:tr w:rsidR="001B6548" w14:paraId="4FE7E113" w14:textId="77777777" w:rsidTr="00F93D74">
        <w:tc>
          <w:tcPr>
            <w:tcW w:w="3505" w:type="dxa"/>
          </w:tcPr>
          <w:p w14:paraId="5C6F7724"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3B3A8AB4" w14:textId="4F9D3283" w:rsidR="001B6548" w:rsidRDefault="001B6548" w:rsidP="00F93D74">
            <w:pPr>
              <w:spacing w:after="40"/>
              <w:rPr>
                <w:rFonts w:cstheme="minorHAnsi"/>
                <w:sz w:val="24"/>
                <w:szCs w:val="24"/>
              </w:rPr>
            </w:pPr>
            <w:r w:rsidRPr="002D60D8">
              <w:rPr>
                <w:rFonts w:cstheme="minorHAnsi"/>
                <w:sz w:val="24"/>
                <w:szCs w:val="24"/>
              </w:rPr>
              <w:t>Direct</w:t>
            </w:r>
          </w:p>
        </w:tc>
      </w:tr>
      <w:tr w:rsidR="001B6548" w14:paraId="09BBD736" w14:textId="77777777" w:rsidTr="00F93D74">
        <w:tc>
          <w:tcPr>
            <w:tcW w:w="3505" w:type="dxa"/>
          </w:tcPr>
          <w:p w14:paraId="0DB26CE6"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1108629D" w14:textId="241CB633" w:rsidR="001B6548" w:rsidRDefault="001B6548" w:rsidP="00F93D74">
            <w:pPr>
              <w:spacing w:after="40"/>
              <w:rPr>
                <w:rFonts w:cstheme="minorHAnsi"/>
                <w:sz w:val="24"/>
                <w:szCs w:val="24"/>
              </w:rPr>
            </w:pPr>
            <w:r>
              <w:rPr>
                <w:rFonts w:cstheme="minorHAnsi"/>
                <w:sz w:val="24"/>
                <w:szCs w:val="24"/>
              </w:rPr>
              <w:t>300</w:t>
            </w:r>
          </w:p>
        </w:tc>
      </w:tr>
      <w:tr w:rsidR="001B6548" w14:paraId="07930176" w14:textId="77777777" w:rsidTr="00F93D74">
        <w:tc>
          <w:tcPr>
            <w:tcW w:w="3505" w:type="dxa"/>
          </w:tcPr>
          <w:p w14:paraId="063BF29C"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44D702CB" w14:textId="2111C170" w:rsidR="001B6548" w:rsidRDefault="001B6548" w:rsidP="00F93D74">
            <w:pPr>
              <w:spacing w:after="40"/>
              <w:rPr>
                <w:rFonts w:cstheme="minorHAnsi"/>
                <w:sz w:val="24"/>
                <w:szCs w:val="24"/>
              </w:rPr>
            </w:pPr>
            <w:r>
              <w:rPr>
                <w:rFonts w:cstheme="minorHAnsi"/>
                <w:sz w:val="24"/>
                <w:szCs w:val="24"/>
              </w:rPr>
              <w:t>Prince George’s County Dept. of Corrections</w:t>
            </w:r>
          </w:p>
        </w:tc>
      </w:tr>
      <w:tr w:rsidR="001B6548" w14:paraId="56CF3E99" w14:textId="77777777" w:rsidTr="00F93D74">
        <w:tc>
          <w:tcPr>
            <w:tcW w:w="3505" w:type="dxa"/>
          </w:tcPr>
          <w:p w14:paraId="2DABCBEF"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32BB4EEA" w14:textId="17A8DA7E" w:rsidR="001B6548" w:rsidRDefault="001B6548" w:rsidP="00F93D74">
            <w:pPr>
              <w:spacing w:after="40"/>
              <w:rPr>
                <w:rFonts w:cstheme="minorHAnsi"/>
                <w:sz w:val="24"/>
                <w:szCs w:val="24"/>
              </w:rPr>
            </w:pPr>
            <w:r>
              <w:rPr>
                <w:rFonts w:cstheme="minorHAnsi"/>
                <w:sz w:val="24"/>
                <w:szCs w:val="24"/>
              </w:rPr>
              <w:t>Prince George’s County, MD</w:t>
            </w:r>
          </w:p>
        </w:tc>
      </w:tr>
    </w:tbl>
    <w:p w14:paraId="14D9E0B4" w14:textId="77777777" w:rsidR="007F7F33" w:rsidRPr="002D60D8" w:rsidRDefault="007F7F33" w:rsidP="007F7F33">
      <w:pPr>
        <w:spacing w:after="40" w:line="240" w:lineRule="auto"/>
        <w:rPr>
          <w:rFonts w:cstheme="minorHAnsi"/>
          <w:sz w:val="24"/>
          <w:szCs w:val="24"/>
        </w:rPr>
      </w:pPr>
    </w:p>
    <w:p w14:paraId="058E1D0E" w14:textId="0ED20A7C" w:rsidR="007F7F33" w:rsidRPr="002D60D8" w:rsidRDefault="007F7F33" w:rsidP="007F7F33">
      <w:pPr>
        <w:spacing w:after="40" w:line="240" w:lineRule="auto"/>
        <w:rPr>
          <w:rFonts w:cstheme="minorHAnsi"/>
        </w:rPr>
      </w:pPr>
      <w:r w:rsidRPr="002D60D8">
        <w:rPr>
          <w:rFonts w:cstheme="minorHAnsi"/>
          <w:b/>
          <w:bCs/>
          <w:sz w:val="24"/>
          <w:szCs w:val="24"/>
        </w:rPr>
        <w:t>Project Summary</w:t>
      </w:r>
      <w:proofErr w:type="gramStart"/>
      <w:r w:rsidRPr="002D60D8">
        <w:rPr>
          <w:rFonts w:cstheme="minorHAnsi"/>
          <w:b/>
          <w:bCs/>
          <w:sz w:val="24"/>
          <w:szCs w:val="24"/>
        </w:rPr>
        <w:t>:</w:t>
      </w:r>
      <w:r w:rsidRPr="002D60D8">
        <w:rPr>
          <w:rFonts w:cstheme="minorHAnsi"/>
        </w:rPr>
        <w:t xml:space="preserve">  </w:t>
      </w:r>
      <w:r w:rsidR="00B72596" w:rsidRPr="00B72596">
        <w:rPr>
          <w:rFonts w:cstheme="minorHAnsi"/>
          <w:sz w:val="24"/>
          <w:szCs w:val="24"/>
        </w:rPr>
        <w:t>The</w:t>
      </w:r>
      <w:proofErr w:type="gramEnd"/>
      <w:r w:rsidR="00B72596" w:rsidRPr="00B72596">
        <w:rPr>
          <w:rFonts w:cstheme="minorHAnsi"/>
          <w:sz w:val="24"/>
          <w:szCs w:val="24"/>
        </w:rPr>
        <w:t xml:space="preserve"> Pathways to the Future Initiative wi</w:t>
      </w:r>
      <w:r w:rsidR="00B72596">
        <w:rPr>
          <w:rFonts w:cstheme="minorHAnsi"/>
          <w:sz w:val="24"/>
          <w:szCs w:val="24"/>
        </w:rPr>
        <w:t>ll</w:t>
      </w:r>
      <w:r w:rsidR="00B72596" w:rsidRPr="00B72596">
        <w:rPr>
          <w:rFonts w:cstheme="minorHAnsi"/>
          <w:sz w:val="24"/>
          <w:szCs w:val="24"/>
        </w:rPr>
        <w:t xml:space="preserve"> prepare incarcerated individuals for employment by delivering pre-release workforce development services. </w:t>
      </w:r>
      <w:r w:rsidR="00B72596">
        <w:rPr>
          <w:rFonts w:cstheme="minorHAnsi"/>
          <w:sz w:val="24"/>
          <w:szCs w:val="24"/>
        </w:rPr>
        <w:t xml:space="preserve"> </w:t>
      </w:r>
      <w:r w:rsidR="00B72596" w:rsidRPr="00B72596">
        <w:rPr>
          <w:rFonts w:cstheme="minorHAnsi"/>
          <w:sz w:val="24"/>
          <w:szCs w:val="24"/>
        </w:rPr>
        <w:t>Participants will engage with a career coach for the duration of their participation and will prepare to enter the workforce by</w:t>
      </w:r>
      <w:r w:rsidR="002477CD">
        <w:rPr>
          <w:rFonts w:cstheme="minorHAnsi"/>
          <w:sz w:val="24"/>
          <w:szCs w:val="24"/>
        </w:rPr>
        <w:t xml:space="preserve"> </w:t>
      </w:r>
      <w:r w:rsidR="002477CD" w:rsidRPr="002477CD">
        <w:rPr>
          <w:rFonts w:cstheme="minorHAnsi"/>
          <w:sz w:val="24"/>
          <w:szCs w:val="24"/>
        </w:rPr>
        <w:t>receiving job-readiness training and financial education, occupational skills training leading to industry-recognized credential</w:t>
      </w:r>
      <w:r w:rsidR="009E23EA">
        <w:rPr>
          <w:rFonts w:cstheme="minorHAnsi"/>
          <w:sz w:val="24"/>
          <w:szCs w:val="24"/>
        </w:rPr>
        <w:t>s</w:t>
      </w:r>
      <w:r w:rsidR="002477CD" w:rsidRPr="002477CD">
        <w:rPr>
          <w:rFonts w:cstheme="minorHAnsi"/>
          <w:sz w:val="24"/>
          <w:szCs w:val="24"/>
        </w:rPr>
        <w:t xml:space="preserve"> in either transportation or </w:t>
      </w:r>
      <w:r w:rsidR="009E23EA">
        <w:rPr>
          <w:rFonts w:cstheme="minorHAnsi"/>
          <w:sz w:val="24"/>
          <w:szCs w:val="24"/>
        </w:rPr>
        <w:t>information technology (</w:t>
      </w:r>
      <w:r w:rsidR="002477CD" w:rsidRPr="002477CD">
        <w:rPr>
          <w:rFonts w:cstheme="minorHAnsi"/>
          <w:sz w:val="24"/>
          <w:szCs w:val="24"/>
        </w:rPr>
        <w:t>IT</w:t>
      </w:r>
      <w:r w:rsidR="009E23EA">
        <w:rPr>
          <w:rFonts w:cstheme="minorHAnsi"/>
          <w:sz w:val="24"/>
          <w:szCs w:val="24"/>
        </w:rPr>
        <w:t>)</w:t>
      </w:r>
      <w:r w:rsidR="002477CD" w:rsidRPr="002477CD">
        <w:rPr>
          <w:rFonts w:cstheme="minorHAnsi"/>
          <w:sz w:val="24"/>
          <w:szCs w:val="24"/>
        </w:rPr>
        <w:t xml:space="preserve">, and referrals for services to address other barriers. </w:t>
      </w:r>
      <w:r w:rsidR="009E23EA">
        <w:rPr>
          <w:rFonts w:cstheme="minorHAnsi"/>
          <w:sz w:val="24"/>
          <w:szCs w:val="24"/>
        </w:rPr>
        <w:t xml:space="preserve"> </w:t>
      </w:r>
      <w:r w:rsidR="002477CD" w:rsidRPr="002477CD">
        <w:rPr>
          <w:rFonts w:cstheme="minorHAnsi"/>
          <w:sz w:val="24"/>
          <w:szCs w:val="24"/>
        </w:rPr>
        <w:t>By providing wrap around services related to employment preparation, the initiative intends to reduce the barriers many returning citizens face when transitioning back into the community and reduce recidivism.</w:t>
      </w:r>
      <w:r w:rsidR="002477CD">
        <w:rPr>
          <w:rFonts w:cstheme="minorHAnsi"/>
          <w:sz w:val="24"/>
          <w:szCs w:val="24"/>
        </w:rPr>
        <w:t xml:space="preserve">  </w:t>
      </w:r>
      <w:r w:rsidR="009E23EA">
        <w:rPr>
          <w:rFonts w:cstheme="minorHAnsi"/>
          <w:sz w:val="24"/>
          <w:szCs w:val="24"/>
        </w:rPr>
        <w:t xml:space="preserve">In addition to </w:t>
      </w:r>
      <w:proofErr w:type="gramStart"/>
      <w:r w:rsidR="009E23EA">
        <w:rPr>
          <w:rFonts w:cstheme="minorHAnsi"/>
          <w:sz w:val="24"/>
          <w:szCs w:val="24"/>
        </w:rPr>
        <w:t>the Prince</w:t>
      </w:r>
      <w:proofErr w:type="gramEnd"/>
      <w:r w:rsidR="009E23EA">
        <w:rPr>
          <w:rFonts w:cstheme="minorHAnsi"/>
          <w:sz w:val="24"/>
          <w:szCs w:val="24"/>
        </w:rPr>
        <w:t xml:space="preserve"> George’s County </w:t>
      </w:r>
      <w:proofErr w:type="gramStart"/>
      <w:r w:rsidR="009E23EA">
        <w:rPr>
          <w:rFonts w:cstheme="minorHAnsi"/>
          <w:sz w:val="24"/>
          <w:szCs w:val="24"/>
        </w:rPr>
        <w:t>jail</w:t>
      </w:r>
      <w:proofErr w:type="gramEnd"/>
      <w:r w:rsidR="009E23EA">
        <w:rPr>
          <w:rFonts w:cstheme="minorHAnsi"/>
          <w:sz w:val="24"/>
          <w:szCs w:val="24"/>
        </w:rPr>
        <w:t xml:space="preserve">, </w:t>
      </w:r>
      <w:r w:rsidR="002477CD">
        <w:rPr>
          <w:rFonts w:cstheme="minorHAnsi"/>
          <w:sz w:val="24"/>
          <w:szCs w:val="24"/>
        </w:rPr>
        <w:t xml:space="preserve">partners </w:t>
      </w:r>
      <w:r w:rsidR="009E23EA">
        <w:rPr>
          <w:rFonts w:cstheme="minorHAnsi"/>
          <w:sz w:val="24"/>
          <w:szCs w:val="24"/>
        </w:rPr>
        <w:t xml:space="preserve">of the project include </w:t>
      </w:r>
      <w:r w:rsidR="009E23EA" w:rsidRPr="009E23EA">
        <w:rPr>
          <w:rFonts w:cstheme="minorHAnsi"/>
          <w:sz w:val="24"/>
          <w:szCs w:val="24"/>
        </w:rPr>
        <w:t>The Bridge Center at Adams House and HOPE Project</w:t>
      </w:r>
      <w:r w:rsidR="009E23EA">
        <w:rPr>
          <w:rFonts w:cstheme="minorHAnsi"/>
          <w:sz w:val="24"/>
          <w:szCs w:val="24"/>
        </w:rPr>
        <w:t>.</w:t>
      </w:r>
      <w:r w:rsidR="00515A9E">
        <w:rPr>
          <w:rFonts w:cstheme="minorHAnsi"/>
          <w:sz w:val="24"/>
          <w:szCs w:val="24"/>
        </w:rPr>
        <w:t xml:space="preserve">  </w:t>
      </w:r>
    </w:p>
    <w:p w14:paraId="375E97BC" w14:textId="77777777" w:rsidR="007F7F33" w:rsidRPr="002D60D8" w:rsidRDefault="007F7F33" w:rsidP="007F7F33">
      <w:pPr>
        <w:spacing w:after="40" w:line="240" w:lineRule="auto"/>
        <w:rPr>
          <w:rFonts w:cstheme="minorHAnsi"/>
        </w:rPr>
      </w:pPr>
    </w:p>
    <w:p w14:paraId="42EFD9A5" w14:textId="778D821E" w:rsidR="007F7F33" w:rsidRPr="002D60D8" w:rsidRDefault="007F7F33" w:rsidP="6AC93419">
      <w:pPr>
        <w:spacing w:after="40" w:line="240" w:lineRule="auto"/>
        <w:rPr>
          <w:color w:val="000000" w:themeColor="text1"/>
          <w:sz w:val="24"/>
          <w:szCs w:val="24"/>
        </w:rPr>
      </w:pPr>
      <w:r w:rsidRPr="6AC93419">
        <w:rPr>
          <w:color w:val="000000" w:themeColor="text1"/>
          <w:sz w:val="24"/>
          <w:szCs w:val="24"/>
        </w:rPr>
        <w:t xml:space="preserve">The </w:t>
      </w:r>
      <w:r w:rsidRPr="6AC93419">
        <w:rPr>
          <w:b/>
          <w:bCs/>
          <w:color w:val="000000" w:themeColor="text1"/>
          <w:sz w:val="24"/>
          <w:szCs w:val="24"/>
        </w:rPr>
        <w:t>proposed outcomes</w:t>
      </w:r>
      <w:r w:rsidRPr="6AC93419">
        <w:rPr>
          <w:color w:val="000000" w:themeColor="text1"/>
          <w:sz w:val="24"/>
          <w:szCs w:val="24"/>
        </w:rPr>
        <w:t xml:space="preserve"> are: </w:t>
      </w:r>
      <w:r w:rsidRPr="6AC93419">
        <w:rPr>
          <w:sz w:val="24"/>
          <w:szCs w:val="24"/>
        </w:rPr>
        <w:t xml:space="preserve">55% employment rate 2nd quarter after exit; 45% employment rate 4th quarter after exit; </w:t>
      </w:r>
      <w:r w:rsidR="00476FCE" w:rsidRPr="6AC93419">
        <w:rPr>
          <w:sz w:val="24"/>
          <w:szCs w:val="24"/>
        </w:rPr>
        <w:t xml:space="preserve">$6,000 </w:t>
      </w:r>
      <w:r w:rsidRPr="6AC93419">
        <w:rPr>
          <w:sz w:val="24"/>
          <w:szCs w:val="24"/>
        </w:rPr>
        <w:t xml:space="preserve">median earnings 2nd quarter after exit; 60% credential attainment; 65% measurable skill gains; and less than </w:t>
      </w:r>
      <w:r w:rsidR="25BA523F" w:rsidRPr="6AC93419">
        <w:rPr>
          <w:sz w:val="24"/>
          <w:szCs w:val="24"/>
        </w:rPr>
        <w:t>16.5</w:t>
      </w:r>
      <w:r w:rsidRPr="6AC93419">
        <w:rPr>
          <w:sz w:val="24"/>
          <w:szCs w:val="24"/>
        </w:rPr>
        <w:t>% recidivism.</w:t>
      </w:r>
    </w:p>
    <w:p w14:paraId="4098A3D1" w14:textId="77777777" w:rsidR="00050BAC" w:rsidRPr="002D60D8" w:rsidRDefault="00050BAC" w:rsidP="00050BAC">
      <w:pPr>
        <w:spacing w:after="40" w:line="240" w:lineRule="auto"/>
        <w:rPr>
          <w:rFonts w:cstheme="minorHAnsi"/>
          <w:sz w:val="24"/>
          <w:szCs w:val="24"/>
        </w:rPr>
      </w:pPr>
    </w:p>
    <w:p w14:paraId="12CDE277" w14:textId="77777777" w:rsidR="00C1402D" w:rsidRPr="002D60D8" w:rsidRDefault="00C1402D" w:rsidP="00E3250C">
      <w:pPr>
        <w:spacing w:after="40" w:line="240" w:lineRule="auto"/>
        <w:rPr>
          <w:rFonts w:cstheme="minorHAnsi"/>
          <w:color w:val="538135" w:themeColor="accent6" w:themeShade="BF"/>
          <w:sz w:val="24"/>
          <w:szCs w:val="24"/>
        </w:rPr>
      </w:pPr>
    </w:p>
    <w:p w14:paraId="6281E24C" w14:textId="77777777" w:rsidR="00C1402D" w:rsidRDefault="00C1402D" w:rsidP="00E3250C">
      <w:pPr>
        <w:spacing w:after="40" w:line="240" w:lineRule="auto"/>
        <w:rPr>
          <w:rFonts w:ascii="Times New Roman" w:hAnsi="Times New Roman" w:cs="Times New Roman"/>
          <w:color w:val="538135" w:themeColor="accent6" w:themeShade="BF"/>
          <w:sz w:val="24"/>
          <w:szCs w:val="24"/>
        </w:rPr>
      </w:pPr>
    </w:p>
    <w:p w14:paraId="6777F966" w14:textId="77777777" w:rsidR="00C1402D" w:rsidRDefault="00C1402D" w:rsidP="00E3250C">
      <w:pPr>
        <w:spacing w:after="40" w:line="240" w:lineRule="auto"/>
        <w:rPr>
          <w:rFonts w:ascii="Times New Roman" w:hAnsi="Times New Roman" w:cs="Times New Roman"/>
          <w:color w:val="538135" w:themeColor="accent6" w:themeShade="BF"/>
          <w:sz w:val="24"/>
          <w:szCs w:val="24"/>
        </w:rPr>
      </w:pPr>
    </w:p>
    <w:p w14:paraId="05C842CA" w14:textId="77777777" w:rsidR="008F2762" w:rsidRDefault="008F2762">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br w:type="page"/>
      </w:r>
    </w:p>
    <w:p w14:paraId="3D785E42" w14:textId="0D46D3E2" w:rsidR="00E3250C" w:rsidRPr="008F2762" w:rsidRDefault="000C1CE5" w:rsidP="008F2762">
      <w:pPr>
        <w:pStyle w:val="Heading1"/>
        <w:rPr>
          <w:b/>
          <w:bCs/>
          <w:color w:val="538135" w:themeColor="accent6" w:themeShade="BF"/>
          <w:sz w:val="28"/>
          <w:szCs w:val="28"/>
        </w:rPr>
      </w:pPr>
      <w:bookmarkStart w:id="6" w:name="_Toc219121423"/>
      <w:r>
        <w:rPr>
          <w:b/>
          <w:bCs/>
          <w:color w:val="538135" w:themeColor="accent6" w:themeShade="BF"/>
          <w:sz w:val="28"/>
          <w:szCs w:val="28"/>
        </w:rPr>
        <w:lastRenderedPageBreak/>
        <w:t>Fedcap, Inc.</w:t>
      </w:r>
      <w:bookmarkEnd w:id="6"/>
    </w:p>
    <w:p w14:paraId="4DC4CD56" w14:textId="0C217B56" w:rsidR="00E3250C" w:rsidRPr="002D60D8" w:rsidRDefault="00E3250C" w:rsidP="00E3250C">
      <w:pPr>
        <w:spacing w:after="40" w:line="240" w:lineRule="auto"/>
        <w:rPr>
          <w:rFonts w:cstheme="minorHAnsi"/>
          <w:sz w:val="24"/>
          <w:szCs w:val="24"/>
        </w:rPr>
      </w:pPr>
      <w:r w:rsidRPr="002D60D8">
        <w:rPr>
          <w:rFonts w:cstheme="minorHAnsi"/>
          <w:color w:val="2F5496" w:themeColor="accent1" w:themeShade="BF"/>
          <w:sz w:val="24"/>
          <w:szCs w:val="24"/>
        </w:rPr>
        <w:t xml:space="preserve">New </w:t>
      </w:r>
      <w:r w:rsidR="00C65EFF" w:rsidRPr="002D60D8">
        <w:rPr>
          <w:rFonts w:cstheme="minorHAnsi"/>
          <w:color w:val="2F5496" w:themeColor="accent1" w:themeShade="BF"/>
          <w:sz w:val="24"/>
          <w:szCs w:val="24"/>
        </w:rPr>
        <w:t>York, NY</w:t>
      </w:r>
    </w:p>
    <w:p w14:paraId="12064166" w14:textId="77777777" w:rsidR="00E3250C" w:rsidRDefault="00E3250C" w:rsidP="00E3250C">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60F88D0A" w14:textId="77777777" w:rsidTr="00F93D74">
        <w:tc>
          <w:tcPr>
            <w:tcW w:w="3505" w:type="dxa"/>
          </w:tcPr>
          <w:p w14:paraId="6A431F6B"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2C194854" w14:textId="2C5DF988" w:rsidR="001B6548" w:rsidRDefault="001B6548" w:rsidP="00F93D74">
            <w:pPr>
              <w:spacing w:after="40"/>
              <w:rPr>
                <w:rFonts w:cstheme="minorHAnsi"/>
                <w:sz w:val="24"/>
                <w:szCs w:val="24"/>
              </w:rPr>
            </w:pPr>
            <w:r w:rsidRPr="002D60D8">
              <w:rPr>
                <w:rFonts w:cstheme="minorHAnsi"/>
                <w:sz w:val="24"/>
                <w:szCs w:val="24"/>
              </w:rPr>
              <w:t>$4,000,000</w:t>
            </w:r>
          </w:p>
        </w:tc>
      </w:tr>
      <w:tr w:rsidR="001B6548" w14:paraId="570CFEC2" w14:textId="77777777" w:rsidTr="00F93D74">
        <w:tc>
          <w:tcPr>
            <w:tcW w:w="3505" w:type="dxa"/>
          </w:tcPr>
          <w:p w14:paraId="3A47A042"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68DBE5D5" w14:textId="77777777" w:rsidR="001B6548" w:rsidRDefault="001B6548" w:rsidP="00F93D74">
            <w:pPr>
              <w:spacing w:after="40"/>
              <w:rPr>
                <w:rFonts w:cstheme="minorHAnsi"/>
                <w:sz w:val="24"/>
                <w:szCs w:val="24"/>
              </w:rPr>
            </w:pPr>
            <w:r w:rsidRPr="002D60D8">
              <w:rPr>
                <w:rFonts w:cstheme="minorHAnsi"/>
                <w:sz w:val="24"/>
                <w:szCs w:val="24"/>
              </w:rPr>
              <w:t>Direct</w:t>
            </w:r>
          </w:p>
        </w:tc>
      </w:tr>
      <w:tr w:rsidR="001B6548" w14:paraId="31ED81CF" w14:textId="77777777" w:rsidTr="00F93D74">
        <w:tc>
          <w:tcPr>
            <w:tcW w:w="3505" w:type="dxa"/>
          </w:tcPr>
          <w:p w14:paraId="28964546"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27EC5E61" w14:textId="09F8965D" w:rsidR="001B6548" w:rsidRDefault="001B6548" w:rsidP="00F93D74">
            <w:pPr>
              <w:spacing w:after="40"/>
              <w:rPr>
                <w:rFonts w:cstheme="minorHAnsi"/>
                <w:sz w:val="24"/>
                <w:szCs w:val="24"/>
              </w:rPr>
            </w:pPr>
            <w:r>
              <w:rPr>
                <w:rFonts w:cstheme="minorHAnsi"/>
                <w:sz w:val="24"/>
                <w:szCs w:val="24"/>
              </w:rPr>
              <w:t>400</w:t>
            </w:r>
          </w:p>
        </w:tc>
      </w:tr>
      <w:tr w:rsidR="001B6548" w14:paraId="0E7A2553" w14:textId="77777777" w:rsidTr="00F93D74">
        <w:tc>
          <w:tcPr>
            <w:tcW w:w="3505" w:type="dxa"/>
          </w:tcPr>
          <w:p w14:paraId="7F99C27B"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732A4E7C" w14:textId="29CE17E0" w:rsidR="001B6548" w:rsidRPr="002D60D8" w:rsidRDefault="001B6548" w:rsidP="001B6548">
            <w:pPr>
              <w:spacing w:after="40"/>
              <w:rPr>
                <w:rFonts w:cstheme="minorHAnsi"/>
                <w:sz w:val="24"/>
                <w:szCs w:val="24"/>
              </w:rPr>
            </w:pPr>
            <w:r>
              <w:rPr>
                <w:rFonts w:cstheme="minorHAnsi"/>
                <w:sz w:val="24"/>
                <w:szCs w:val="24"/>
              </w:rPr>
              <w:t>New York City Dept. of Corrections– Eric M. Taylor Center New York City Dept. of Corrections– Rose M. Singer Center</w:t>
            </w:r>
          </w:p>
          <w:p w14:paraId="48C6D22F" w14:textId="2C93E87E" w:rsidR="001B6548" w:rsidRDefault="001B6548" w:rsidP="00F93D74">
            <w:pPr>
              <w:spacing w:after="40"/>
              <w:rPr>
                <w:rFonts w:cstheme="minorHAnsi"/>
                <w:sz w:val="24"/>
                <w:szCs w:val="24"/>
              </w:rPr>
            </w:pPr>
          </w:p>
        </w:tc>
      </w:tr>
      <w:tr w:rsidR="001B6548" w14:paraId="0FECDC4B" w14:textId="77777777" w:rsidTr="00F93D74">
        <w:tc>
          <w:tcPr>
            <w:tcW w:w="3505" w:type="dxa"/>
          </w:tcPr>
          <w:p w14:paraId="7EF6A93B"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57C73298" w14:textId="74FAF8C9" w:rsidR="001B6548" w:rsidRDefault="001B6548" w:rsidP="00F93D74">
            <w:pPr>
              <w:spacing w:after="40"/>
              <w:rPr>
                <w:rFonts w:cstheme="minorHAnsi"/>
                <w:sz w:val="24"/>
                <w:szCs w:val="24"/>
              </w:rPr>
            </w:pPr>
            <w:r>
              <w:rPr>
                <w:rFonts w:cstheme="minorHAnsi"/>
                <w:sz w:val="24"/>
                <w:szCs w:val="24"/>
              </w:rPr>
              <w:t>NYC Neighborhoods: B</w:t>
            </w:r>
            <w:r w:rsidRPr="00A8162E">
              <w:rPr>
                <w:rFonts w:cstheme="minorHAnsi"/>
                <w:sz w:val="24"/>
                <w:szCs w:val="24"/>
              </w:rPr>
              <w:t>rownsville, Bushwick, Cypress Hill, Flatbush, Fordham,</w:t>
            </w:r>
            <w:r>
              <w:rPr>
                <w:rFonts w:cstheme="minorHAnsi"/>
                <w:sz w:val="24"/>
                <w:szCs w:val="24"/>
              </w:rPr>
              <w:t xml:space="preserve"> </w:t>
            </w:r>
            <w:r w:rsidRPr="00A8162E">
              <w:rPr>
                <w:rFonts w:cstheme="minorHAnsi"/>
                <w:sz w:val="24"/>
                <w:szCs w:val="24"/>
              </w:rPr>
              <w:t>Gun Hill, Harlem, Jamaica, Morrisania, Morris Heights, Mott Haven, Mt. Eden, South Bronx, and Tremont</w:t>
            </w:r>
          </w:p>
        </w:tc>
      </w:tr>
    </w:tbl>
    <w:p w14:paraId="1432F766" w14:textId="77777777" w:rsidR="00655783" w:rsidRPr="002D60D8" w:rsidRDefault="00655783" w:rsidP="00655783">
      <w:pPr>
        <w:spacing w:after="40" w:line="240" w:lineRule="auto"/>
        <w:rPr>
          <w:rFonts w:cstheme="minorHAnsi"/>
          <w:sz w:val="24"/>
          <w:szCs w:val="24"/>
        </w:rPr>
      </w:pPr>
    </w:p>
    <w:p w14:paraId="565D9247" w14:textId="6D4223B0" w:rsidR="003372A5" w:rsidRPr="00473836" w:rsidRDefault="00655783" w:rsidP="6AC93419">
      <w:pPr>
        <w:spacing w:after="80" w:line="240" w:lineRule="auto"/>
        <w:rPr>
          <w:sz w:val="24"/>
          <w:szCs w:val="24"/>
        </w:rPr>
      </w:pPr>
      <w:r w:rsidRPr="6AC93419">
        <w:rPr>
          <w:b/>
          <w:bCs/>
          <w:sz w:val="24"/>
          <w:szCs w:val="24"/>
        </w:rPr>
        <w:t>Project Summary</w:t>
      </w:r>
      <w:proofErr w:type="gramStart"/>
      <w:r w:rsidRPr="6AC93419">
        <w:rPr>
          <w:b/>
          <w:bCs/>
          <w:sz w:val="24"/>
          <w:szCs w:val="24"/>
        </w:rPr>
        <w:t>:</w:t>
      </w:r>
      <w:r w:rsidRPr="6AC93419">
        <w:rPr>
          <w:sz w:val="24"/>
          <w:szCs w:val="24"/>
        </w:rPr>
        <w:t xml:space="preserve">  </w:t>
      </w:r>
      <w:r w:rsidR="00B25C1F" w:rsidRPr="6AC93419">
        <w:rPr>
          <w:sz w:val="24"/>
          <w:szCs w:val="24"/>
        </w:rPr>
        <w:t>Fedcap</w:t>
      </w:r>
      <w:proofErr w:type="gramEnd"/>
      <w:r w:rsidR="00B25C1F" w:rsidRPr="6AC93419">
        <w:rPr>
          <w:sz w:val="24"/>
          <w:szCs w:val="24"/>
        </w:rPr>
        <w:t xml:space="preserve"> has provided targeted and tailored workforce services to justice-involved adults pre-and post-release in New York City Dep</w:t>
      </w:r>
      <w:r w:rsidR="00990145" w:rsidRPr="6AC93419">
        <w:rPr>
          <w:sz w:val="24"/>
          <w:szCs w:val="24"/>
        </w:rPr>
        <w:t>t.</w:t>
      </w:r>
      <w:r w:rsidR="00B25C1F" w:rsidRPr="6AC93419">
        <w:rPr>
          <w:sz w:val="24"/>
          <w:szCs w:val="24"/>
        </w:rPr>
        <w:t xml:space="preserve"> of Correction (DOC) facilities since 2010.  </w:t>
      </w:r>
      <w:r w:rsidR="008A6C0E" w:rsidRPr="6AC93419">
        <w:rPr>
          <w:sz w:val="24"/>
          <w:szCs w:val="24"/>
        </w:rPr>
        <w:t>The Pathway Home project’s purpose is to provide reentry services beginning while participants are incarcerated and continuing post-release, leading to skills-based employment while improving individuals’ transition back to the community</w:t>
      </w:r>
      <w:r w:rsidR="00B25C1F" w:rsidRPr="6AC93419">
        <w:rPr>
          <w:sz w:val="24"/>
          <w:szCs w:val="24"/>
        </w:rPr>
        <w:t xml:space="preserve">. </w:t>
      </w:r>
    </w:p>
    <w:p w14:paraId="6A7F5187" w14:textId="34DF66BD" w:rsidR="00473836" w:rsidRPr="00473836" w:rsidRDefault="003372A5" w:rsidP="00473836">
      <w:pPr>
        <w:spacing w:after="0" w:line="240" w:lineRule="auto"/>
        <w:rPr>
          <w:rFonts w:cstheme="minorHAnsi"/>
          <w:sz w:val="24"/>
          <w:szCs w:val="24"/>
        </w:rPr>
      </w:pPr>
      <w:r w:rsidRPr="00473836">
        <w:rPr>
          <w:rFonts w:cstheme="minorHAnsi"/>
          <w:sz w:val="24"/>
          <w:szCs w:val="24"/>
        </w:rPr>
        <w:t>Fedcap will implement the evidence-based sectoral career pathway employment and training model (includes pre-apprenticeship/apprenticeship) and proposes</w:t>
      </w:r>
      <w:r w:rsidR="00473836" w:rsidRPr="00473836">
        <w:rPr>
          <w:rFonts w:cstheme="minorHAnsi"/>
          <w:sz w:val="24"/>
          <w:szCs w:val="24"/>
        </w:rPr>
        <w:t xml:space="preserve"> </w:t>
      </w:r>
      <w:r w:rsidRPr="00473836">
        <w:rPr>
          <w:rFonts w:cstheme="minorHAnsi"/>
          <w:sz w:val="24"/>
          <w:szCs w:val="24"/>
        </w:rPr>
        <w:t xml:space="preserve">integrating it with </w:t>
      </w:r>
      <w:r w:rsidR="00473836" w:rsidRPr="00473836">
        <w:rPr>
          <w:rFonts w:cstheme="minorHAnsi"/>
          <w:sz w:val="24"/>
          <w:szCs w:val="24"/>
        </w:rPr>
        <w:t xml:space="preserve">3 </w:t>
      </w:r>
      <w:r w:rsidRPr="00473836">
        <w:rPr>
          <w:rFonts w:cstheme="minorHAnsi"/>
          <w:sz w:val="24"/>
          <w:szCs w:val="24"/>
        </w:rPr>
        <w:t>evidence-based and informed models</w:t>
      </w:r>
      <w:r w:rsidR="00473836" w:rsidRPr="00473836">
        <w:rPr>
          <w:rFonts w:cstheme="minorHAnsi"/>
          <w:sz w:val="24"/>
          <w:szCs w:val="24"/>
        </w:rPr>
        <w:t>:</w:t>
      </w:r>
      <w:r w:rsidRPr="00473836">
        <w:rPr>
          <w:rFonts w:cstheme="minorHAnsi"/>
          <w:sz w:val="24"/>
          <w:szCs w:val="24"/>
        </w:rPr>
        <w:t xml:space="preserve"> 1) the Alliance for Quality Career Pathways Framework (AQCP)</w:t>
      </w:r>
      <w:r w:rsidR="00511722" w:rsidRPr="00473836">
        <w:rPr>
          <w:rFonts w:cstheme="minorHAnsi"/>
          <w:sz w:val="24"/>
          <w:szCs w:val="24"/>
        </w:rPr>
        <w:t xml:space="preserve">, providing a model for developing a career pathways program; 2) </w:t>
      </w:r>
      <w:r w:rsidR="00E45A05">
        <w:rPr>
          <w:rFonts w:cstheme="minorHAnsi"/>
          <w:sz w:val="24"/>
          <w:szCs w:val="24"/>
        </w:rPr>
        <w:t xml:space="preserve">the </w:t>
      </w:r>
      <w:r w:rsidR="00473836" w:rsidRPr="00473836">
        <w:rPr>
          <w:rFonts w:cstheme="minorHAnsi"/>
          <w:sz w:val="24"/>
          <w:szCs w:val="24"/>
        </w:rPr>
        <w:t>I</w:t>
      </w:r>
      <w:r w:rsidR="00511722" w:rsidRPr="00473836">
        <w:rPr>
          <w:rFonts w:cstheme="minorHAnsi"/>
          <w:sz w:val="24"/>
          <w:szCs w:val="24"/>
        </w:rPr>
        <w:t xml:space="preserve">ntegrated Risk and Employment Strategies (IRES) approach, developing an Individual Development Plan based on an assessment of participants along </w:t>
      </w:r>
      <w:r w:rsidR="00473836" w:rsidRPr="00473836">
        <w:rPr>
          <w:rFonts w:cstheme="minorHAnsi"/>
          <w:sz w:val="24"/>
          <w:szCs w:val="24"/>
        </w:rPr>
        <w:t>2</w:t>
      </w:r>
      <w:r w:rsidR="00511722" w:rsidRPr="00473836">
        <w:rPr>
          <w:rFonts w:cstheme="minorHAnsi"/>
          <w:sz w:val="24"/>
          <w:szCs w:val="24"/>
        </w:rPr>
        <w:t xml:space="preserve"> dimensions, criminogenic risk/needs, and workforce readiness; and 3) Sectoral Based Employment (SBE) and Apprenticeship Model, which develops industry-specific training programs preparing unemployed and under-skilled workers for skilled positions and connect</w:t>
      </w:r>
      <w:r w:rsidR="00473836" w:rsidRPr="00473836">
        <w:rPr>
          <w:rFonts w:cstheme="minorHAnsi"/>
          <w:sz w:val="24"/>
          <w:szCs w:val="24"/>
        </w:rPr>
        <w:t>s</w:t>
      </w:r>
      <w:r w:rsidR="00511722" w:rsidRPr="00473836">
        <w:rPr>
          <w:rFonts w:cstheme="minorHAnsi"/>
          <w:sz w:val="24"/>
          <w:szCs w:val="24"/>
        </w:rPr>
        <w:t xml:space="preserve"> them with employers to fill such vacancies.</w:t>
      </w:r>
      <w:r w:rsidR="00473836" w:rsidRPr="00473836">
        <w:rPr>
          <w:rFonts w:cstheme="minorHAnsi"/>
          <w:sz w:val="24"/>
          <w:szCs w:val="24"/>
        </w:rPr>
        <w:t xml:space="preserve">  Using the IRES model, Fedcap will implement employment and career services pre- and post-release, including </w:t>
      </w:r>
    </w:p>
    <w:p w14:paraId="12C78F2D" w14:textId="041C0012" w:rsidR="00655783" w:rsidRPr="002D60D8" w:rsidRDefault="00473836" w:rsidP="6AC93419">
      <w:pPr>
        <w:spacing w:after="80" w:line="240" w:lineRule="auto"/>
        <w:rPr>
          <w:sz w:val="24"/>
          <w:szCs w:val="24"/>
        </w:rPr>
      </w:pPr>
      <w:r w:rsidRPr="6AC93419">
        <w:rPr>
          <w:sz w:val="24"/>
          <w:szCs w:val="24"/>
        </w:rPr>
        <w:t>comprehensive case management and robust support services to ensure participant success.</w:t>
      </w:r>
    </w:p>
    <w:p w14:paraId="731CA973" w14:textId="4BE9D8AB" w:rsidR="00655783" w:rsidRPr="00E45A05" w:rsidRDefault="00655783" w:rsidP="00E45A05">
      <w:pPr>
        <w:spacing w:after="40" w:line="240" w:lineRule="auto"/>
        <w:rPr>
          <w:rFonts w:cstheme="minorHAnsi"/>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are: </w:t>
      </w:r>
      <w:r w:rsidRPr="00FA6BA3">
        <w:rPr>
          <w:rFonts w:cstheme="minorHAnsi"/>
          <w:sz w:val="24"/>
          <w:szCs w:val="24"/>
        </w:rPr>
        <w:t xml:space="preserve">55% employment rate 2nd quarter after exit; 45% employment rate 4th quarter after exit; </w:t>
      </w:r>
      <w:r w:rsidR="00D220F6">
        <w:rPr>
          <w:rFonts w:cstheme="minorHAnsi"/>
          <w:sz w:val="24"/>
          <w:szCs w:val="24"/>
        </w:rPr>
        <w:t xml:space="preserve">$6,000 </w:t>
      </w:r>
      <w:r w:rsidRPr="00FA6BA3">
        <w:rPr>
          <w:rFonts w:cstheme="minorHAnsi"/>
          <w:sz w:val="24"/>
          <w:szCs w:val="24"/>
        </w:rPr>
        <w:t xml:space="preserve">median earnings 2nd quarter after exit; 60% credential attainment; 65% measurable skill gains; and less than </w:t>
      </w:r>
      <w:r w:rsidR="003F42D6" w:rsidRPr="00FA6BA3">
        <w:rPr>
          <w:rFonts w:cstheme="minorHAnsi"/>
          <w:sz w:val="24"/>
          <w:szCs w:val="24"/>
        </w:rPr>
        <w:t>19.1</w:t>
      </w:r>
      <w:r w:rsidRPr="00FA6BA3">
        <w:rPr>
          <w:rFonts w:cstheme="minorHAnsi"/>
          <w:sz w:val="24"/>
          <w:szCs w:val="24"/>
        </w:rPr>
        <w:t>% recidivism.</w:t>
      </w:r>
      <w:r w:rsidR="003F42D6">
        <w:rPr>
          <w:rFonts w:cstheme="minorHAnsi"/>
          <w:sz w:val="24"/>
          <w:szCs w:val="24"/>
        </w:rPr>
        <w:t xml:space="preserve">  In addition to the WIOA Primary Indicators of Performance goals and </w:t>
      </w:r>
      <w:r w:rsidR="00F07D60">
        <w:rPr>
          <w:rFonts w:cstheme="minorHAnsi"/>
          <w:sz w:val="24"/>
          <w:szCs w:val="24"/>
        </w:rPr>
        <w:t xml:space="preserve">the REO-specific performance goals, Fedcap, Inc. has </w:t>
      </w:r>
      <w:r w:rsidR="009C2673">
        <w:rPr>
          <w:rFonts w:cstheme="minorHAnsi"/>
          <w:sz w:val="24"/>
          <w:szCs w:val="24"/>
        </w:rPr>
        <w:t>proposed</w:t>
      </w:r>
      <w:r w:rsidR="00F07D60">
        <w:rPr>
          <w:rFonts w:cstheme="minorHAnsi"/>
          <w:sz w:val="24"/>
          <w:szCs w:val="24"/>
        </w:rPr>
        <w:t xml:space="preserve"> additional </w:t>
      </w:r>
      <w:r w:rsidR="009C2673">
        <w:rPr>
          <w:rFonts w:cstheme="minorHAnsi"/>
          <w:sz w:val="24"/>
          <w:szCs w:val="24"/>
        </w:rPr>
        <w:t xml:space="preserve">outcomes: </w:t>
      </w:r>
      <w:r w:rsidR="009C2673" w:rsidRPr="009C2673">
        <w:rPr>
          <w:rFonts w:cstheme="minorHAnsi"/>
          <w:sz w:val="24"/>
          <w:szCs w:val="24"/>
        </w:rPr>
        <w:t xml:space="preserve">100% of program participants </w:t>
      </w:r>
      <w:r w:rsidR="00962B6B">
        <w:rPr>
          <w:rFonts w:cstheme="minorHAnsi"/>
          <w:sz w:val="24"/>
          <w:szCs w:val="24"/>
        </w:rPr>
        <w:t xml:space="preserve">(PPs) </w:t>
      </w:r>
      <w:r w:rsidR="009C2673" w:rsidRPr="009C2673">
        <w:rPr>
          <w:rFonts w:cstheme="minorHAnsi"/>
          <w:sz w:val="24"/>
          <w:szCs w:val="24"/>
        </w:rPr>
        <w:t xml:space="preserve">will develop an </w:t>
      </w:r>
      <w:r w:rsidR="00E45A05">
        <w:rPr>
          <w:rFonts w:cstheme="minorHAnsi"/>
          <w:sz w:val="24"/>
          <w:szCs w:val="24"/>
        </w:rPr>
        <w:t>IDP</w:t>
      </w:r>
      <w:r w:rsidR="00FA6BA3">
        <w:rPr>
          <w:rFonts w:cstheme="minorHAnsi"/>
          <w:sz w:val="24"/>
          <w:szCs w:val="24"/>
        </w:rPr>
        <w:t xml:space="preserve"> </w:t>
      </w:r>
      <w:r w:rsidR="009C2673" w:rsidRPr="009C2673">
        <w:rPr>
          <w:rFonts w:cstheme="minorHAnsi"/>
          <w:sz w:val="24"/>
          <w:szCs w:val="24"/>
        </w:rPr>
        <w:t xml:space="preserve">specifying a career pathway and services to address greater than or equal to 2 criminogenic needs pre-release; ≥70% of 400 </w:t>
      </w:r>
      <w:r w:rsidR="00962B6B">
        <w:rPr>
          <w:rFonts w:cstheme="minorHAnsi"/>
          <w:sz w:val="24"/>
          <w:szCs w:val="24"/>
        </w:rPr>
        <w:t>PPs</w:t>
      </w:r>
      <w:r w:rsidR="009C2673" w:rsidRPr="009C2673">
        <w:rPr>
          <w:rFonts w:cstheme="minorHAnsi"/>
          <w:sz w:val="24"/>
          <w:szCs w:val="24"/>
        </w:rPr>
        <w:t xml:space="preserve"> will enroll in an educ./</w:t>
      </w:r>
      <w:proofErr w:type="spellStart"/>
      <w:r w:rsidR="009C2673" w:rsidRPr="009C2673">
        <w:rPr>
          <w:rFonts w:cstheme="minorHAnsi"/>
          <w:sz w:val="24"/>
          <w:szCs w:val="24"/>
        </w:rPr>
        <w:t>occup</w:t>
      </w:r>
      <w:proofErr w:type="spellEnd"/>
      <w:r w:rsidR="009C2673" w:rsidRPr="009C2673">
        <w:rPr>
          <w:rFonts w:cstheme="minorHAnsi"/>
          <w:sz w:val="24"/>
          <w:szCs w:val="24"/>
        </w:rPr>
        <w:t>. skills training</w:t>
      </w:r>
      <w:r w:rsidR="00FA6BA3">
        <w:rPr>
          <w:rFonts w:cstheme="minorHAnsi"/>
          <w:sz w:val="24"/>
          <w:szCs w:val="24"/>
        </w:rPr>
        <w:t xml:space="preserve"> </w:t>
      </w:r>
      <w:r w:rsidR="009C2673" w:rsidRPr="009C2673">
        <w:rPr>
          <w:rFonts w:cstheme="minorHAnsi"/>
          <w:sz w:val="24"/>
          <w:szCs w:val="24"/>
        </w:rPr>
        <w:t xml:space="preserve">program leading to industry-recognized credential attainment rate; </w:t>
      </w:r>
      <w:proofErr w:type="gramStart"/>
      <w:r w:rsidR="009C2673" w:rsidRPr="009C2673">
        <w:rPr>
          <w:rFonts w:cstheme="minorHAnsi"/>
          <w:sz w:val="24"/>
          <w:szCs w:val="24"/>
        </w:rPr>
        <w:t>and,</w:t>
      </w:r>
      <w:proofErr w:type="gramEnd"/>
      <w:r w:rsidR="009C2673" w:rsidRPr="009C2673">
        <w:rPr>
          <w:rFonts w:cstheme="minorHAnsi"/>
          <w:sz w:val="24"/>
          <w:szCs w:val="24"/>
        </w:rPr>
        <w:t xml:space="preserve"> ≥70% of P</w:t>
      </w:r>
      <w:r w:rsidR="00962B6B">
        <w:rPr>
          <w:rFonts w:cstheme="minorHAnsi"/>
          <w:sz w:val="24"/>
          <w:szCs w:val="24"/>
        </w:rPr>
        <w:t xml:space="preserve">Ps </w:t>
      </w:r>
      <w:r w:rsidR="009C2673" w:rsidRPr="009C2673">
        <w:rPr>
          <w:rFonts w:cstheme="minorHAnsi"/>
          <w:sz w:val="24"/>
          <w:szCs w:val="24"/>
        </w:rPr>
        <w:t>will be placed in unsubsidized employment, apprenticeship, or post</w:t>
      </w:r>
      <w:r w:rsidR="00FA6BA3">
        <w:rPr>
          <w:rFonts w:cstheme="minorHAnsi"/>
          <w:sz w:val="24"/>
          <w:szCs w:val="24"/>
        </w:rPr>
        <w:t>-</w:t>
      </w:r>
      <w:r w:rsidR="009C2673" w:rsidRPr="009C2673">
        <w:rPr>
          <w:rFonts w:cstheme="minorHAnsi"/>
          <w:sz w:val="24"/>
          <w:szCs w:val="24"/>
        </w:rPr>
        <w:t>secondary education.</w:t>
      </w:r>
    </w:p>
    <w:p w14:paraId="7281C127" w14:textId="127D8E68" w:rsidR="00E3250C" w:rsidRPr="004A31B7" w:rsidRDefault="004A31B7" w:rsidP="004A31B7">
      <w:pPr>
        <w:pStyle w:val="Heading1"/>
        <w:rPr>
          <w:b/>
          <w:bCs/>
          <w:color w:val="538135" w:themeColor="accent6" w:themeShade="BF"/>
          <w:sz w:val="28"/>
          <w:szCs w:val="28"/>
        </w:rPr>
      </w:pPr>
      <w:bookmarkStart w:id="7" w:name="_Toc219121424"/>
      <w:r w:rsidRPr="004A31B7">
        <w:rPr>
          <w:b/>
          <w:bCs/>
          <w:color w:val="538135" w:themeColor="accent6" w:themeShade="BF"/>
          <w:sz w:val="28"/>
          <w:szCs w:val="28"/>
        </w:rPr>
        <w:lastRenderedPageBreak/>
        <w:t>Kansas Department of Commerce</w:t>
      </w:r>
      <w:bookmarkEnd w:id="7"/>
    </w:p>
    <w:p w14:paraId="76DBED33" w14:textId="243CA40D" w:rsidR="00E3250C" w:rsidRPr="002D60D8" w:rsidRDefault="00476039" w:rsidP="00E3250C">
      <w:pPr>
        <w:spacing w:after="40" w:line="240" w:lineRule="auto"/>
        <w:rPr>
          <w:rFonts w:cstheme="minorHAnsi"/>
          <w:sz w:val="24"/>
          <w:szCs w:val="24"/>
        </w:rPr>
      </w:pPr>
      <w:r w:rsidRPr="002D60D8">
        <w:rPr>
          <w:rFonts w:cstheme="minorHAnsi"/>
          <w:color w:val="2F5496" w:themeColor="accent1" w:themeShade="BF"/>
          <w:sz w:val="24"/>
          <w:szCs w:val="24"/>
        </w:rPr>
        <w:t>Topeka, KS</w:t>
      </w:r>
    </w:p>
    <w:p w14:paraId="6E27BD6D" w14:textId="77777777" w:rsidR="00E3250C" w:rsidRDefault="00E3250C" w:rsidP="00E3250C">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152741CA" w14:textId="77777777" w:rsidTr="00F93D74">
        <w:tc>
          <w:tcPr>
            <w:tcW w:w="3505" w:type="dxa"/>
          </w:tcPr>
          <w:p w14:paraId="76A036F6"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7B6963D1" w14:textId="4E049345" w:rsidR="001B6548" w:rsidRDefault="001B6548" w:rsidP="00F93D74">
            <w:pPr>
              <w:spacing w:after="40"/>
              <w:rPr>
                <w:rFonts w:cstheme="minorHAnsi"/>
                <w:sz w:val="24"/>
                <w:szCs w:val="24"/>
              </w:rPr>
            </w:pPr>
            <w:r w:rsidRPr="002D60D8">
              <w:rPr>
                <w:rFonts w:cstheme="minorHAnsi"/>
                <w:sz w:val="24"/>
                <w:szCs w:val="24"/>
              </w:rPr>
              <w:t>$3,995,301</w:t>
            </w:r>
          </w:p>
        </w:tc>
      </w:tr>
      <w:tr w:rsidR="001B6548" w14:paraId="6E562743" w14:textId="77777777" w:rsidTr="00F93D74">
        <w:tc>
          <w:tcPr>
            <w:tcW w:w="3505" w:type="dxa"/>
          </w:tcPr>
          <w:p w14:paraId="1E139569"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7057AB5E" w14:textId="77777777" w:rsidR="001B6548" w:rsidRDefault="001B6548" w:rsidP="00F93D74">
            <w:pPr>
              <w:spacing w:after="40"/>
              <w:rPr>
                <w:rFonts w:cstheme="minorHAnsi"/>
                <w:sz w:val="24"/>
                <w:szCs w:val="24"/>
              </w:rPr>
            </w:pPr>
            <w:r w:rsidRPr="002D60D8">
              <w:rPr>
                <w:rFonts w:cstheme="minorHAnsi"/>
                <w:sz w:val="24"/>
                <w:szCs w:val="24"/>
              </w:rPr>
              <w:t>Direct</w:t>
            </w:r>
          </w:p>
        </w:tc>
      </w:tr>
      <w:tr w:rsidR="001B6548" w14:paraId="0AF6FA14" w14:textId="77777777" w:rsidTr="00F93D74">
        <w:tc>
          <w:tcPr>
            <w:tcW w:w="3505" w:type="dxa"/>
          </w:tcPr>
          <w:p w14:paraId="7A2D27C1"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315AFF0A" w14:textId="77777777" w:rsidR="001B6548" w:rsidRDefault="001B6548" w:rsidP="00F93D74">
            <w:pPr>
              <w:spacing w:after="40"/>
              <w:rPr>
                <w:rFonts w:cstheme="minorHAnsi"/>
                <w:sz w:val="24"/>
                <w:szCs w:val="24"/>
              </w:rPr>
            </w:pPr>
            <w:r>
              <w:rPr>
                <w:rFonts w:cstheme="minorHAnsi"/>
                <w:sz w:val="24"/>
                <w:szCs w:val="24"/>
              </w:rPr>
              <w:t>400</w:t>
            </w:r>
          </w:p>
        </w:tc>
      </w:tr>
      <w:tr w:rsidR="001B6548" w14:paraId="431230AD" w14:textId="77777777" w:rsidTr="00F93D74">
        <w:tc>
          <w:tcPr>
            <w:tcW w:w="3505" w:type="dxa"/>
          </w:tcPr>
          <w:p w14:paraId="3FE483C5"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5C6FAB79" w14:textId="328E9ED4" w:rsidR="001B6548" w:rsidRDefault="001B6548" w:rsidP="00F93D74">
            <w:pPr>
              <w:spacing w:after="40"/>
              <w:rPr>
                <w:rFonts w:cstheme="minorHAnsi"/>
                <w:sz w:val="24"/>
                <w:szCs w:val="24"/>
              </w:rPr>
            </w:pPr>
            <w:r w:rsidRPr="00F800FE">
              <w:rPr>
                <w:rFonts w:cstheme="minorHAnsi"/>
                <w:sz w:val="24"/>
                <w:szCs w:val="24"/>
              </w:rPr>
              <w:t>El Dorado Correctional Facility</w:t>
            </w:r>
            <w:r>
              <w:rPr>
                <w:rFonts w:cstheme="minorHAnsi"/>
                <w:sz w:val="24"/>
                <w:szCs w:val="24"/>
              </w:rPr>
              <w:t xml:space="preserve">; </w:t>
            </w:r>
            <w:r w:rsidRPr="00F800FE">
              <w:rPr>
                <w:rFonts w:cstheme="minorHAnsi"/>
                <w:sz w:val="24"/>
                <w:szCs w:val="24"/>
              </w:rPr>
              <w:t>Ellsworth Correctional Facility</w:t>
            </w:r>
            <w:r>
              <w:rPr>
                <w:rFonts w:cstheme="minorHAnsi"/>
                <w:sz w:val="24"/>
                <w:szCs w:val="24"/>
              </w:rPr>
              <w:t xml:space="preserve">; </w:t>
            </w:r>
            <w:r w:rsidRPr="00F800FE">
              <w:rPr>
                <w:rFonts w:cstheme="minorHAnsi"/>
                <w:sz w:val="24"/>
                <w:szCs w:val="24"/>
              </w:rPr>
              <w:t>Hutchinson Correctional Facility</w:t>
            </w:r>
            <w:r>
              <w:rPr>
                <w:rFonts w:cstheme="minorHAnsi"/>
                <w:sz w:val="24"/>
                <w:szCs w:val="24"/>
              </w:rPr>
              <w:t xml:space="preserve">; </w:t>
            </w:r>
            <w:r w:rsidRPr="00F800FE">
              <w:rPr>
                <w:rFonts w:cstheme="minorHAnsi"/>
                <w:sz w:val="24"/>
                <w:szCs w:val="24"/>
              </w:rPr>
              <w:t>Lansing Correctional Facility</w:t>
            </w:r>
            <w:r>
              <w:rPr>
                <w:rFonts w:cstheme="minorHAnsi"/>
                <w:sz w:val="24"/>
                <w:szCs w:val="24"/>
              </w:rPr>
              <w:t xml:space="preserve">; </w:t>
            </w:r>
            <w:r w:rsidRPr="00F800FE">
              <w:rPr>
                <w:rFonts w:cstheme="minorHAnsi"/>
                <w:sz w:val="24"/>
                <w:szCs w:val="24"/>
              </w:rPr>
              <w:t>Larned State Correctional Facility</w:t>
            </w:r>
            <w:r>
              <w:rPr>
                <w:rFonts w:cstheme="minorHAnsi"/>
                <w:sz w:val="24"/>
                <w:szCs w:val="24"/>
              </w:rPr>
              <w:t xml:space="preserve">; </w:t>
            </w:r>
            <w:r w:rsidRPr="00F800FE">
              <w:rPr>
                <w:rFonts w:cstheme="minorHAnsi"/>
                <w:sz w:val="24"/>
                <w:szCs w:val="24"/>
              </w:rPr>
              <w:t>Norton Correctional Facility</w:t>
            </w:r>
            <w:r>
              <w:rPr>
                <w:rFonts w:cstheme="minorHAnsi"/>
                <w:sz w:val="24"/>
                <w:szCs w:val="24"/>
              </w:rPr>
              <w:t xml:space="preserve">; </w:t>
            </w:r>
            <w:r w:rsidRPr="00F800FE">
              <w:rPr>
                <w:rFonts w:cstheme="minorHAnsi"/>
                <w:sz w:val="24"/>
                <w:szCs w:val="24"/>
              </w:rPr>
              <w:t>Topeka Correctional Facility</w:t>
            </w:r>
            <w:r>
              <w:rPr>
                <w:rFonts w:cstheme="minorHAnsi"/>
                <w:sz w:val="24"/>
                <w:szCs w:val="24"/>
              </w:rPr>
              <w:t xml:space="preserve">; and </w:t>
            </w:r>
            <w:r w:rsidRPr="00F800FE">
              <w:rPr>
                <w:rFonts w:cstheme="minorHAnsi"/>
                <w:sz w:val="24"/>
                <w:szCs w:val="24"/>
              </w:rPr>
              <w:t>Winfield Correctional Facility</w:t>
            </w:r>
            <w:r>
              <w:rPr>
                <w:rFonts w:cstheme="minorHAnsi"/>
                <w:sz w:val="24"/>
                <w:szCs w:val="24"/>
              </w:rPr>
              <w:t>.</w:t>
            </w:r>
          </w:p>
        </w:tc>
      </w:tr>
      <w:tr w:rsidR="001B6548" w14:paraId="33A69CCB" w14:textId="77777777" w:rsidTr="00F93D74">
        <w:tc>
          <w:tcPr>
            <w:tcW w:w="3505" w:type="dxa"/>
          </w:tcPr>
          <w:p w14:paraId="2BE23005"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1F58FB1F" w14:textId="595E2815" w:rsidR="001B6548" w:rsidRDefault="001B6548" w:rsidP="00F93D74">
            <w:pPr>
              <w:spacing w:after="40"/>
              <w:rPr>
                <w:rFonts w:cstheme="minorHAnsi"/>
                <w:sz w:val="24"/>
                <w:szCs w:val="24"/>
              </w:rPr>
            </w:pPr>
            <w:r>
              <w:rPr>
                <w:rFonts w:cstheme="minorHAnsi"/>
                <w:sz w:val="24"/>
                <w:szCs w:val="24"/>
              </w:rPr>
              <w:t>All 105 counties of Kansas</w:t>
            </w:r>
          </w:p>
        </w:tc>
      </w:tr>
    </w:tbl>
    <w:p w14:paraId="5278ACFA" w14:textId="77777777" w:rsidR="00476039" w:rsidRPr="002D60D8" w:rsidRDefault="00476039" w:rsidP="00476039">
      <w:pPr>
        <w:spacing w:after="40" w:line="240" w:lineRule="auto"/>
        <w:rPr>
          <w:rFonts w:cstheme="minorHAnsi"/>
          <w:sz w:val="24"/>
          <w:szCs w:val="24"/>
        </w:rPr>
      </w:pPr>
    </w:p>
    <w:p w14:paraId="7A90C4CA" w14:textId="59C7300F" w:rsidR="00476039" w:rsidRDefault="00476039" w:rsidP="00DE4065">
      <w:pPr>
        <w:spacing w:after="0" w:line="240" w:lineRule="auto"/>
        <w:rPr>
          <w:rFonts w:cstheme="minorHAnsi"/>
          <w:sz w:val="24"/>
          <w:szCs w:val="24"/>
        </w:rPr>
      </w:pPr>
      <w:r w:rsidRPr="00DE4065">
        <w:rPr>
          <w:rFonts w:cstheme="minorHAnsi"/>
          <w:b/>
          <w:bCs/>
          <w:sz w:val="24"/>
          <w:szCs w:val="24"/>
        </w:rPr>
        <w:t>Project Summary</w:t>
      </w:r>
      <w:proofErr w:type="gramStart"/>
      <w:r w:rsidRPr="00DE4065">
        <w:rPr>
          <w:rFonts w:cstheme="minorHAnsi"/>
          <w:b/>
          <w:bCs/>
          <w:sz w:val="24"/>
          <w:szCs w:val="24"/>
        </w:rPr>
        <w:t>:</w:t>
      </w:r>
      <w:r w:rsidRPr="00DE4065">
        <w:rPr>
          <w:rFonts w:cstheme="minorHAnsi"/>
          <w:sz w:val="24"/>
          <w:szCs w:val="24"/>
        </w:rPr>
        <w:t xml:space="preserve">  </w:t>
      </w:r>
      <w:r w:rsidR="00DE4065" w:rsidRPr="00DE4065">
        <w:rPr>
          <w:rFonts w:cstheme="minorHAnsi"/>
          <w:sz w:val="24"/>
          <w:szCs w:val="24"/>
        </w:rPr>
        <w:t>The</w:t>
      </w:r>
      <w:proofErr w:type="gramEnd"/>
      <w:r w:rsidR="00DE4065" w:rsidRPr="00DE4065">
        <w:rPr>
          <w:rFonts w:cstheme="minorHAnsi"/>
          <w:sz w:val="24"/>
          <w:szCs w:val="24"/>
        </w:rPr>
        <w:t xml:space="preserve"> Kansas Dept. of Commerce will partner with all four Local Workforce</w:t>
      </w:r>
      <w:r w:rsidR="00DE4065">
        <w:rPr>
          <w:rFonts w:cstheme="minorHAnsi"/>
          <w:sz w:val="24"/>
          <w:szCs w:val="24"/>
        </w:rPr>
        <w:t xml:space="preserve"> </w:t>
      </w:r>
      <w:r w:rsidR="00DE4065" w:rsidRPr="00DE4065">
        <w:rPr>
          <w:rFonts w:cstheme="minorHAnsi"/>
          <w:sz w:val="24"/>
          <w:szCs w:val="24"/>
        </w:rPr>
        <w:t xml:space="preserve">Development Boards in the state of Kansas to offer intensive case management and workforce preparation services to residents incarcerated in Kansas correctional facilities, both pre- and post-release. </w:t>
      </w:r>
      <w:r w:rsidR="00DE4065">
        <w:rPr>
          <w:rFonts w:cstheme="minorHAnsi"/>
          <w:sz w:val="24"/>
          <w:szCs w:val="24"/>
        </w:rPr>
        <w:t xml:space="preserve"> </w:t>
      </w:r>
      <w:r w:rsidR="00DE4065" w:rsidRPr="00DE4065">
        <w:rPr>
          <w:rFonts w:cstheme="minorHAnsi"/>
          <w:sz w:val="24"/>
          <w:szCs w:val="24"/>
        </w:rPr>
        <w:t xml:space="preserve">Each Local Workforce Development Board will hire a well-qualified Pathway Home 6 Navigator to deliver services to individuals who are returning to their local area. </w:t>
      </w:r>
      <w:r w:rsidR="00F6387E">
        <w:rPr>
          <w:rFonts w:cstheme="minorHAnsi"/>
          <w:sz w:val="24"/>
          <w:szCs w:val="24"/>
        </w:rPr>
        <w:t xml:space="preserve"> </w:t>
      </w:r>
      <w:r w:rsidR="00DE4065" w:rsidRPr="00DE4065">
        <w:rPr>
          <w:rFonts w:cstheme="minorHAnsi"/>
          <w:sz w:val="24"/>
          <w:szCs w:val="24"/>
        </w:rPr>
        <w:t>Pathway Home 6 Navigators will meet with participants on a regular basis, both pre-and post-release, to assess barriers and needs, explore career interests and options, connect to education/training, job readiness programming, and supportive services to aid in gaining and maintaining</w:t>
      </w:r>
      <w:r w:rsidR="00DE4065">
        <w:rPr>
          <w:rFonts w:cstheme="minorHAnsi"/>
          <w:sz w:val="24"/>
          <w:szCs w:val="24"/>
        </w:rPr>
        <w:t xml:space="preserve"> </w:t>
      </w:r>
      <w:r w:rsidR="00DE4065" w:rsidRPr="00DE4065">
        <w:rPr>
          <w:rFonts w:cstheme="minorHAnsi"/>
          <w:sz w:val="24"/>
          <w:szCs w:val="24"/>
        </w:rPr>
        <w:t xml:space="preserve">employment, in an in-demand occupation, in their region of return. </w:t>
      </w:r>
      <w:r w:rsidR="00F6387E">
        <w:rPr>
          <w:rFonts w:cstheme="minorHAnsi"/>
          <w:sz w:val="24"/>
          <w:szCs w:val="24"/>
        </w:rPr>
        <w:t xml:space="preserve"> </w:t>
      </w:r>
      <w:r w:rsidR="00DE4065" w:rsidRPr="00DE4065">
        <w:rPr>
          <w:rFonts w:cstheme="minorHAnsi"/>
          <w:sz w:val="24"/>
          <w:szCs w:val="24"/>
        </w:rPr>
        <w:t>Follow-up services will be provided by the Pathway Home 6 Navigators to encourage retention in training/education programs and sustainable living wage employment, to offer the participant the tools to successfully remain in the community and avoid recidivism.</w:t>
      </w:r>
    </w:p>
    <w:p w14:paraId="7E3A8373" w14:textId="77777777" w:rsidR="003C3D25" w:rsidRDefault="003C3D25" w:rsidP="00DE4065">
      <w:pPr>
        <w:spacing w:after="0" w:line="240" w:lineRule="auto"/>
        <w:rPr>
          <w:rFonts w:cstheme="minorHAnsi"/>
          <w:sz w:val="24"/>
          <w:szCs w:val="24"/>
        </w:rPr>
      </w:pPr>
    </w:p>
    <w:p w14:paraId="1EDA6EA6" w14:textId="25F90F92" w:rsidR="00476039" w:rsidRPr="003C3D25" w:rsidRDefault="003C3D25" w:rsidP="003C3D25">
      <w:pPr>
        <w:spacing w:after="0" w:line="240" w:lineRule="auto"/>
        <w:rPr>
          <w:rFonts w:cstheme="minorHAnsi"/>
          <w:sz w:val="24"/>
          <w:szCs w:val="24"/>
        </w:rPr>
      </w:pPr>
      <w:r>
        <w:rPr>
          <w:rFonts w:cstheme="minorHAnsi"/>
          <w:sz w:val="24"/>
          <w:szCs w:val="24"/>
        </w:rPr>
        <w:t xml:space="preserve">Other partners </w:t>
      </w:r>
      <w:proofErr w:type="gramStart"/>
      <w:r>
        <w:rPr>
          <w:rFonts w:cstheme="minorHAnsi"/>
          <w:sz w:val="24"/>
          <w:szCs w:val="24"/>
        </w:rPr>
        <w:t>include:</w:t>
      </w:r>
      <w:proofErr w:type="gramEnd"/>
      <w:r>
        <w:rPr>
          <w:rFonts w:cstheme="minorHAnsi"/>
          <w:sz w:val="24"/>
          <w:szCs w:val="24"/>
        </w:rPr>
        <w:t xml:space="preserve"> </w:t>
      </w:r>
      <w:r w:rsidRPr="003C3D25">
        <w:rPr>
          <w:rFonts w:cstheme="minorHAnsi"/>
          <w:sz w:val="24"/>
          <w:szCs w:val="24"/>
        </w:rPr>
        <w:t xml:space="preserve">Kansas Legal Services, Heartland Regional Drug and Alcohol Assessment Center (HRADAC), Substance Abuse Center of Kansas (SACK), Kansas </w:t>
      </w:r>
      <w:proofErr w:type="spellStart"/>
      <w:r w:rsidRPr="003C3D25">
        <w:rPr>
          <w:rFonts w:cstheme="minorHAnsi"/>
          <w:sz w:val="24"/>
          <w:szCs w:val="24"/>
        </w:rPr>
        <w:t>WorkforceONE</w:t>
      </w:r>
      <w:proofErr w:type="spellEnd"/>
      <w:r w:rsidRPr="003C3D25">
        <w:rPr>
          <w:rFonts w:cstheme="minorHAnsi"/>
          <w:sz w:val="24"/>
          <w:szCs w:val="24"/>
        </w:rPr>
        <w:t>, Workforce Partnership, Workforce Alliance,</w:t>
      </w:r>
      <w:r>
        <w:rPr>
          <w:rFonts w:cstheme="minorHAnsi"/>
          <w:sz w:val="24"/>
          <w:szCs w:val="24"/>
        </w:rPr>
        <w:t xml:space="preserve"> and</w:t>
      </w:r>
      <w:r w:rsidRPr="003C3D25">
        <w:rPr>
          <w:rFonts w:cstheme="minorHAnsi"/>
          <w:sz w:val="24"/>
          <w:szCs w:val="24"/>
        </w:rPr>
        <w:t xml:space="preserve"> Southeast KANSASWORKS</w:t>
      </w:r>
      <w:r>
        <w:rPr>
          <w:rFonts w:cstheme="minorHAnsi"/>
          <w:sz w:val="24"/>
          <w:szCs w:val="24"/>
        </w:rPr>
        <w:t>.</w:t>
      </w:r>
    </w:p>
    <w:p w14:paraId="1BE63D7C" w14:textId="77777777" w:rsidR="00476039" w:rsidRPr="002D60D8" w:rsidRDefault="00476039" w:rsidP="00476039">
      <w:pPr>
        <w:spacing w:after="40" w:line="240" w:lineRule="auto"/>
        <w:rPr>
          <w:rFonts w:cstheme="minorHAnsi"/>
        </w:rPr>
      </w:pPr>
    </w:p>
    <w:p w14:paraId="6AD177D0" w14:textId="567E5BA2" w:rsidR="00476039" w:rsidRPr="002D60D8" w:rsidRDefault="00476039" w:rsidP="00476039">
      <w:pPr>
        <w:spacing w:after="40" w:line="240" w:lineRule="auto"/>
        <w:rPr>
          <w:rFonts w:cstheme="minorHAnsi"/>
          <w:color w:val="000000" w:themeColor="text1"/>
          <w:sz w:val="24"/>
          <w:szCs w:val="24"/>
        </w:rPr>
      </w:pPr>
      <w:r w:rsidRPr="00D60302">
        <w:rPr>
          <w:rFonts w:cstheme="minorHAnsi"/>
          <w:color w:val="000000" w:themeColor="text1"/>
          <w:sz w:val="24"/>
          <w:szCs w:val="24"/>
        </w:rPr>
        <w:t xml:space="preserve">The </w:t>
      </w:r>
      <w:r w:rsidRPr="00D60302">
        <w:rPr>
          <w:rFonts w:cstheme="minorHAnsi"/>
          <w:b/>
          <w:bCs/>
          <w:color w:val="000000" w:themeColor="text1"/>
          <w:sz w:val="24"/>
          <w:szCs w:val="24"/>
        </w:rPr>
        <w:t>proposed outcomes</w:t>
      </w:r>
      <w:r w:rsidRPr="00D60302">
        <w:rPr>
          <w:rFonts w:cstheme="minorHAnsi"/>
          <w:color w:val="000000" w:themeColor="text1"/>
          <w:sz w:val="24"/>
          <w:szCs w:val="24"/>
        </w:rPr>
        <w:t xml:space="preserve"> are: </w:t>
      </w:r>
      <w:r w:rsidRPr="00D60302">
        <w:rPr>
          <w:rFonts w:cstheme="minorHAnsi"/>
          <w:sz w:val="24"/>
          <w:szCs w:val="24"/>
        </w:rPr>
        <w:t xml:space="preserve">55% employment rate 2nd quarter after exit; 45% employment rate 4th quarter after exit; </w:t>
      </w:r>
      <w:r w:rsidR="00D220F6">
        <w:rPr>
          <w:rFonts w:cstheme="minorHAnsi"/>
          <w:sz w:val="24"/>
          <w:szCs w:val="24"/>
        </w:rPr>
        <w:t xml:space="preserve">$5,000 </w:t>
      </w:r>
      <w:r w:rsidRPr="00D60302">
        <w:rPr>
          <w:rFonts w:cstheme="minorHAnsi"/>
          <w:sz w:val="24"/>
          <w:szCs w:val="24"/>
        </w:rPr>
        <w:t xml:space="preserve">median earnings 2nd quarter after exit; 60% credential attainment; 65% measurable skill gains; and less than </w:t>
      </w:r>
      <w:r w:rsidR="00D60302" w:rsidRPr="00D60302">
        <w:rPr>
          <w:rFonts w:cstheme="minorHAnsi"/>
          <w:sz w:val="24"/>
          <w:szCs w:val="24"/>
        </w:rPr>
        <w:t>25.16</w:t>
      </w:r>
      <w:r w:rsidRPr="00D60302">
        <w:rPr>
          <w:rFonts w:cstheme="minorHAnsi"/>
          <w:sz w:val="24"/>
          <w:szCs w:val="24"/>
        </w:rPr>
        <w:t>% recidivism.</w:t>
      </w:r>
    </w:p>
    <w:p w14:paraId="3D3A296A" w14:textId="77777777" w:rsidR="00C1402D" w:rsidRPr="002D60D8" w:rsidRDefault="00C1402D" w:rsidP="00E3250C">
      <w:pPr>
        <w:spacing w:after="40" w:line="240" w:lineRule="auto"/>
        <w:rPr>
          <w:rFonts w:cstheme="minorHAnsi"/>
          <w:color w:val="538135" w:themeColor="accent6" w:themeShade="BF"/>
          <w:sz w:val="24"/>
          <w:szCs w:val="24"/>
        </w:rPr>
      </w:pPr>
    </w:p>
    <w:p w14:paraId="17981330" w14:textId="77777777" w:rsidR="00C1402D" w:rsidRPr="002D60D8" w:rsidRDefault="00C1402D" w:rsidP="00E3250C">
      <w:pPr>
        <w:spacing w:after="40" w:line="240" w:lineRule="auto"/>
        <w:rPr>
          <w:rFonts w:cstheme="minorHAnsi"/>
          <w:color w:val="538135" w:themeColor="accent6" w:themeShade="BF"/>
          <w:sz w:val="24"/>
          <w:szCs w:val="24"/>
        </w:rPr>
      </w:pPr>
    </w:p>
    <w:p w14:paraId="62B18C95" w14:textId="77777777" w:rsidR="00BD2589" w:rsidRDefault="00BD2589">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br w:type="page"/>
      </w:r>
    </w:p>
    <w:p w14:paraId="7B6A9E96" w14:textId="4A52C303" w:rsidR="00E3250C" w:rsidRPr="00BD2589" w:rsidRDefault="003F595C" w:rsidP="00BD2589">
      <w:pPr>
        <w:pStyle w:val="Heading1"/>
        <w:rPr>
          <w:b/>
          <w:bCs/>
          <w:color w:val="538135" w:themeColor="accent6" w:themeShade="BF"/>
          <w:sz w:val="28"/>
          <w:szCs w:val="28"/>
        </w:rPr>
      </w:pPr>
      <w:bookmarkStart w:id="8" w:name="_Toc219121425"/>
      <w:r>
        <w:rPr>
          <w:b/>
          <w:bCs/>
          <w:color w:val="538135" w:themeColor="accent6" w:themeShade="BF"/>
          <w:sz w:val="28"/>
          <w:szCs w:val="28"/>
        </w:rPr>
        <w:lastRenderedPageBreak/>
        <w:t>Knoxville Leadership Foundation</w:t>
      </w:r>
      <w:bookmarkEnd w:id="8"/>
    </w:p>
    <w:p w14:paraId="4452EDCF" w14:textId="4A7BF3EC" w:rsidR="00E3250C" w:rsidRPr="002D60D8" w:rsidRDefault="003F595C" w:rsidP="00E3250C">
      <w:pPr>
        <w:spacing w:after="40" w:line="240" w:lineRule="auto"/>
        <w:rPr>
          <w:rFonts w:cstheme="minorHAnsi"/>
          <w:sz w:val="24"/>
          <w:szCs w:val="24"/>
        </w:rPr>
      </w:pPr>
      <w:r w:rsidRPr="002D60D8">
        <w:rPr>
          <w:rFonts w:cstheme="minorHAnsi"/>
          <w:color w:val="2F5496" w:themeColor="accent1" w:themeShade="BF"/>
          <w:sz w:val="24"/>
          <w:szCs w:val="24"/>
        </w:rPr>
        <w:t>Knoxville, TN</w:t>
      </w:r>
    </w:p>
    <w:p w14:paraId="3C79E7DB" w14:textId="77777777" w:rsidR="00E3250C" w:rsidRDefault="00E3250C" w:rsidP="00E3250C">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64CD06C2" w14:textId="77777777" w:rsidTr="6AC93419">
        <w:tc>
          <w:tcPr>
            <w:tcW w:w="3505" w:type="dxa"/>
          </w:tcPr>
          <w:p w14:paraId="111632DD"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1BAA06A1" w14:textId="65629C07" w:rsidR="001B6548" w:rsidRDefault="001B6548" w:rsidP="00F93D74">
            <w:pPr>
              <w:spacing w:after="40"/>
              <w:rPr>
                <w:rFonts w:cstheme="minorHAnsi"/>
                <w:sz w:val="24"/>
                <w:szCs w:val="24"/>
              </w:rPr>
            </w:pPr>
            <w:r w:rsidRPr="002D60D8">
              <w:rPr>
                <w:rFonts w:cstheme="minorHAnsi"/>
                <w:sz w:val="24"/>
                <w:szCs w:val="24"/>
              </w:rPr>
              <w:t>$2,999,588</w:t>
            </w:r>
          </w:p>
        </w:tc>
      </w:tr>
      <w:tr w:rsidR="001B6548" w14:paraId="7D604A66" w14:textId="77777777" w:rsidTr="6AC93419">
        <w:tc>
          <w:tcPr>
            <w:tcW w:w="3505" w:type="dxa"/>
          </w:tcPr>
          <w:p w14:paraId="28892A21"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3121EBD0" w14:textId="77777777" w:rsidR="001B6548" w:rsidRDefault="001B6548" w:rsidP="00F93D74">
            <w:pPr>
              <w:spacing w:after="40"/>
              <w:rPr>
                <w:rFonts w:cstheme="minorHAnsi"/>
                <w:sz w:val="24"/>
                <w:szCs w:val="24"/>
              </w:rPr>
            </w:pPr>
            <w:r w:rsidRPr="002D60D8">
              <w:rPr>
                <w:rFonts w:cstheme="minorHAnsi"/>
                <w:sz w:val="24"/>
                <w:szCs w:val="24"/>
              </w:rPr>
              <w:t>Direct</w:t>
            </w:r>
          </w:p>
        </w:tc>
      </w:tr>
      <w:tr w:rsidR="001B6548" w14:paraId="33F6D333" w14:textId="77777777" w:rsidTr="6AC93419">
        <w:tc>
          <w:tcPr>
            <w:tcW w:w="3505" w:type="dxa"/>
          </w:tcPr>
          <w:p w14:paraId="721321F7"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630AE4C2" w14:textId="4ED85DC0" w:rsidR="001B6548" w:rsidRDefault="001B6548" w:rsidP="00F93D74">
            <w:pPr>
              <w:spacing w:after="40"/>
              <w:rPr>
                <w:rFonts w:cstheme="minorHAnsi"/>
                <w:sz w:val="24"/>
                <w:szCs w:val="24"/>
              </w:rPr>
            </w:pPr>
            <w:r>
              <w:rPr>
                <w:rFonts w:cstheme="minorHAnsi"/>
                <w:sz w:val="24"/>
                <w:szCs w:val="24"/>
              </w:rPr>
              <w:t>300</w:t>
            </w:r>
          </w:p>
        </w:tc>
      </w:tr>
      <w:tr w:rsidR="001B6548" w14:paraId="2E203848" w14:textId="77777777" w:rsidTr="6AC93419">
        <w:trPr>
          <w:trHeight w:val="300"/>
        </w:trPr>
        <w:tc>
          <w:tcPr>
            <w:tcW w:w="3505" w:type="dxa"/>
          </w:tcPr>
          <w:p w14:paraId="1F111483"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6D4C95EB" w14:textId="7E09A037" w:rsidR="001B6548" w:rsidRDefault="427FFA9F" w:rsidP="6AC93419">
            <w:pPr>
              <w:spacing w:after="40"/>
              <w:rPr>
                <w:sz w:val="24"/>
                <w:szCs w:val="24"/>
              </w:rPr>
            </w:pPr>
            <w:r w:rsidRPr="6AC93419">
              <w:rPr>
                <w:sz w:val="24"/>
                <w:szCs w:val="24"/>
              </w:rPr>
              <w:t xml:space="preserve">Roger D. Wilson Detention Facility </w:t>
            </w:r>
          </w:p>
        </w:tc>
      </w:tr>
      <w:tr w:rsidR="001B6548" w14:paraId="59AFC714" w14:textId="77777777" w:rsidTr="6AC93419">
        <w:tc>
          <w:tcPr>
            <w:tcW w:w="3505" w:type="dxa"/>
          </w:tcPr>
          <w:p w14:paraId="251BE8D1"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3ABF586B" w14:textId="1643D053" w:rsidR="001B6548" w:rsidRDefault="001B6548" w:rsidP="001B6548">
            <w:pPr>
              <w:spacing w:after="40"/>
              <w:ind w:left="3600" w:hanging="3600"/>
              <w:rPr>
                <w:rFonts w:cstheme="minorHAnsi"/>
                <w:sz w:val="24"/>
                <w:szCs w:val="24"/>
              </w:rPr>
            </w:pPr>
            <w:r>
              <w:rPr>
                <w:rFonts w:cstheme="minorHAnsi"/>
                <w:sz w:val="24"/>
                <w:szCs w:val="24"/>
              </w:rPr>
              <w:t>Knoxville and surrounding rural areas of Knox County, TN</w:t>
            </w:r>
          </w:p>
        </w:tc>
      </w:tr>
    </w:tbl>
    <w:p w14:paraId="47197F71" w14:textId="77777777" w:rsidR="003F595C" w:rsidRPr="002D60D8" w:rsidRDefault="003F595C" w:rsidP="003F595C">
      <w:pPr>
        <w:spacing w:after="40" w:line="240" w:lineRule="auto"/>
        <w:rPr>
          <w:rFonts w:cstheme="minorHAnsi"/>
          <w:sz w:val="24"/>
          <w:szCs w:val="24"/>
        </w:rPr>
      </w:pPr>
    </w:p>
    <w:p w14:paraId="648238DA" w14:textId="2237B20A" w:rsidR="00FB449E" w:rsidRDefault="003F595C" w:rsidP="00543034">
      <w:pPr>
        <w:spacing w:after="0" w:line="240" w:lineRule="auto"/>
        <w:rPr>
          <w:rFonts w:cstheme="minorHAnsi"/>
          <w:sz w:val="24"/>
          <w:szCs w:val="24"/>
        </w:rPr>
      </w:pPr>
      <w:r w:rsidRPr="00543034">
        <w:rPr>
          <w:rFonts w:cstheme="minorHAnsi"/>
          <w:b/>
          <w:bCs/>
          <w:sz w:val="24"/>
          <w:szCs w:val="24"/>
        </w:rPr>
        <w:t>Project Summary:</w:t>
      </w:r>
      <w:r w:rsidRPr="00543034">
        <w:rPr>
          <w:rFonts w:cstheme="minorHAnsi"/>
          <w:sz w:val="24"/>
          <w:szCs w:val="24"/>
        </w:rPr>
        <w:t xml:space="preserve">  </w:t>
      </w:r>
      <w:r w:rsidR="00B816D7" w:rsidRPr="00543034">
        <w:rPr>
          <w:rFonts w:cstheme="minorHAnsi"/>
          <w:sz w:val="24"/>
          <w:szCs w:val="24"/>
        </w:rPr>
        <w:t xml:space="preserve">The KnoxWorx Pathway Home 6 (KW-PH6) program </w:t>
      </w:r>
      <w:r w:rsidR="00D15BDD" w:rsidRPr="00543034">
        <w:rPr>
          <w:rFonts w:cstheme="minorHAnsi"/>
          <w:sz w:val="24"/>
          <w:szCs w:val="24"/>
        </w:rPr>
        <w:t>will help justice-involved individuals to (1) increase conflict resolution and anger management skills to prevent and avoid violence/destructive behavior as they move forward; (2) fully prepare for the workplace by identifying career interests and aptitudes, attaining relevant skills, addressing academic deficiencies, and gaining meaningful work experience leading to high-quality jobs and career progression in Knox County; and (3) remove barriers to sustainable employment such as obtaining transportation, safe housing; social, health, drug misuse treatment, and legal services; or other needs impacting stability post-release.</w:t>
      </w:r>
      <w:r w:rsidR="00543034" w:rsidRPr="00543034">
        <w:rPr>
          <w:rFonts w:cstheme="minorHAnsi"/>
          <w:sz w:val="24"/>
          <w:szCs w:val="24"/>
        </w:rPr>
        <w:t xml:space="preserve">  </w:t>
      </w:r>
      <w:r w:rsidR="0008041F" w:rsidRPr="00543034">
        <w:rPr>
          <w:rFonts w:cstheme="minorHAnsi"/>
          <w:sz w:val="24"/>
          <w:szCs w:val="24"/>
        </w:rPr>
        <w:t xml:space="preserve">KW-PH6 offers: </w:t>
      </w:r>
      <w:r w:rsidR="00FB449E">
        <w:rPr>
          <w:rFonts w:cstheme="minorHAnsi"/>
          <w:sz w:val="24"/>
          <w:szCs w:val="24"/>
        </w:rPr>
        <w:br/>
      </w:r>
    </w:p>
    <w:p w14:paraId="173DF6A5" w14:textId="629AB42A" w:rsidR="00FB449E" w:rsidRPr="005F6868" w:rsidRDefault="0008041F" w:rsidP="005F6868">
      <w:pPr>
        <w:pStyle w:val="ListParagraph"/>
        <w:numPr>
          <w:ilvl w:val="0"/>
          <w:numId w:val="1"/>
        </w:numPr>
        <w:spacing w:after="0" w:line="240" w:lineRule="auto"/>
        <w:rPr>
          <w:rFonts w:cstheme="minorHAnsi"/>
        </w:rPr>
      </w:pPr>
      <w:r w:rsidRPr="005F6868">
        <w:rPr>
          <w:rFonts w:cstheme="minorHAnsi"/>
        </w:rPr>
        <w:t xml:space="preserve">Occupational skill development and academic advancement based on KLF’s KNOXWORX model, a holistic approach to skill training that includes a full range of wrap-around </w:t>
      </w:r>
      <w:proofErr w:type="gramStart"/>
      <w:r w:rsidRPr="005F6868">
        <w:rPr>
          <w:rFonts w:cstheme="minorHAnsi"/>
        </w:rPr>
        <w:t>services to</w:t>
      </w:r>
      <w:proofErr w:type="gramEnd"/>
      <w:r w:rsidRPr="005F6868">
        <w:rPr>
          <w:rFonts w:cstheme="minorHAnsi"/>
        </w:rPr>
        <w:t xml:space="preserve"> collectively address barriers incarcerated individuals face. </w:t>
      </w:r>
      <w:r w:rsidR="00543034" w:rsidRPr="005F6868">
        <w:rPr>
          <w:rFonts w:cstheme="minorHAnsi"/>
        </w:rPr>
        <w:t xml:space="preserve"> </w:t>
      </w:r>
      <w:r w:rsidRPr="005F6868">
        <w:rPr>
          <w:rFonts w:cstheme="minorHAnsi"/>
        </w:rPr>
        <w:t xml:space="preserve">All participants will receive training to complete at least one industry-recognized credential pre-release and additional training based on Individual Development Plans (IDPs) created by participants with case managers. </w:t>
      </w:r>
      <w:r w:rsidR="00543034" w:rsidRPr="005F6868">
        <w:rPr>
          <w:rFonts w:cstheme="minorHAnsi"/>
        </w:rPr>
        <w:t xml:space="preserve"> </w:t>
      </w:r>
    </w:p>
    <w:p w14:paraId="6B6BB756" w14:textId="61A303C7" w:rsidR="00FB449E" w:rsidRPr="005F6868" w:rsidRDefault="0008041F" w:rsidP="005F6868">
      <w:pPr>
        <w:pStyle w:val="ListParagraph"/>
        <w:numPr>
          <w:ilvl w:val="0"/>
          <w:numId w:val="1"/>
        </w:numPr>
        <w:spacing w:after="0" w:line="240" w:lineRule="auto"/>
        <w:rPr>
          <w:rFonts w:cstheme="minorHAnsi"/>
        </w:rPr>
      </w:pPr>
      <w:r w:rsidRPr="005F6868">
        <w:rPr>
          <w:rFonts w:cstheme="minorHAnsi"/>
        </w:rPr>
        <w:t xml:space="preserve">Employability and life-skill training addressing participant barriers such as poverty, addiction, and violence with additional staff and employer partner training to improve outcomes through a better understanding of trauma informed care, violence prevention, harm reduction, and other facets of the KNOXWORX model. </w:t>
      </w:r>
    </w:p>
    <w:p w14:paraId="614B7D2D" w14:textId="2967C319" w:rsidR="00FB449E" w:rsidRPr="005F6868" w:rsidRDefault="0008041F" w:rsidP="005F6868">
      <w:pPr>
        <w:pStyle w:val="ListParagraph"/>
        <w:numPr>
          <w:ilvl w:val="0"/>
          <w:numId w:val="1"/>
        </w:numPr>
        <w:spacing w:after="0" w:line="240" w:lineRule="auto"/>
        <w:rPr>
          <w:rFonts w:cstheme="minorHAnsi"/>
        </w:rPr>
      </w:pPr>
      <w:r w:rsidRPr="005F6868">
        <w:rPr>
          <w:rFonts w:cstheme="minorHAnsi"/>
        </w:rPr>
        <w:t xml:space="preserve">A continuum of consistent case management and wrap-around services for a minimum of 20 days pre-release, the 72-hour period after release, and continued 12 months after program exit. </w:t>
      </w:r>
      <w:r w:rsidR="00693FFE" w:rsidRPr="005F6868">
        <w:rPr>
          <w:rFonts w:cstheme="minorHAnsi"/>
        </w:rPr>
        <w:t xml:space="preserve"> </w:t>
      </w:r>
    </w:p>
    <w:p w14:paraId="2FBED0F9" w14:textId="748EE0D6" w:rsidR="00D15BDD" w:rsidRPr="005F6868" w:rsidRDefault="0008041F" w:rsidP="005F6868">
      <w:pPr>
        <w:pStyle w:val="ListParagraph"/>
        <w:numPr>
          <w:ilvl w:val="0"/>
          <w:numId w:val="1"/>
        </w:numPr>
        <w:spacing w:after="0" w:line="240" w:lineRule="auto"/>
        <w:rPr>
          <w:rFonts w:cstheme="minorHAnsi"/>
        </w:rPr>
      </w:pPr>
      <w:r w:rsidRPr="005F6868">
        <w:rPr>
          <w:rFonts w:cstheme="minorHAnsi"/>
        </w:rPr>
        <w:t xml:space="preserve">Career coaching and mentorship for participants to evaluate career options, complete skill training, and maintain employment. </w:t>
      </w:r>
      <w:r w:rsidR="005F6868" w:rsidRPr="005F6868">
        <w:rPr>
          <w:rFonts w:cstheme="minorHAnsi"/>
        </w:rPr>
        <w:t xml:space="preserve"> </w:t>
      </w:r>
    </w:p>
    <w:p w14:paraId="3297C55C" w14:textId="77777777" w:rsidR="0008041F" w:rsidRPr="00543034" w:rsidRDefault="0008041F" w:rsidP="00543034">
      <w:pPr>
        <w:spacing w:after="0" w:line="240" w:lineRule="auto"/>
        <w:rPr>
          <w:rFonts w:cstheme="minorHAnsi"/>
          <w:sz w:val="24"/>
          <w:szCs w:val="24"/>
        </w:rPr>
      </w:pPr>
    </w:p>
    <w:p w14:paraId="250748C0" w14:textId="3D35D8E9" w:rsidR="0008041F" w:rsidRPr="00543034" w:rsidRDefault="00543034" w:rsidP="00543034">
      <w:pPr>
        <w:spacing w:after="0" w:line="240" w:lineRule="auto"/>
        <w:rPr>
          <w:rFonts w:cstheme="minorHAnsi"/>
          <w:sz w:val="24"/>
          <w:szCs w:val="24"/>
        </w:rPr>
      </w:pPr>
      <w:r w:rsidRPr="00543034">
        <w:rPr>
          <w:rFonts w:cstheme="minorHAnsi"/>
          <w:sz w:val="24"/>
          <w:szCs w:val="24"/>
        </w:rPr>
        <w:t xml:space="preserve">Based on local market information and input from KLF’s Industry Task Force, KW-PH6 will offer skill training leading to sustainable employment in five </w:t>
      </w:r>
      <w:proofErr w:type="gramStart"/>
      <w:r w:rsidRPr="00543034">
        <w:rPr>
          <w:rFonts w:cstheme="minorHAnsi"/>
          <w:sz w:val="24"/>
          <w:szCs w:val="24"/>
        </w:rPr>
        <w:t>area</w:t>
      </w:r>
      <w:proofErr w:type="gramEnd"/>
      <w:r w:rsidRPr="00543034">
        <w:rPr>
          <w:rFonts w:cstheme="minorHAnsi"/>
          <w:sz w:val="24"/>
          <w:szCs w:val="24"/>
        </w:rPr>
        <w:t xml:space="preserve"> in-demand industries: Construction and Building Maintenance, Manufacturing, Customer Service and Culinary, Logistics, and Health Care</w:t>
      </w:r>
      <w:r w:rsidR="00693FFE">
        <w:rPr>
          <w:rFonts w:cstheme="minorHAnsi"/>
          <w:sz w:val="24"/>
          <w:szCs w:val="24"/>
        </w:rPr>
        <w:t>.</w:t>
      </w:r>
    </w:p>
    <w:p w14:paraId="28C8D784" w14:textId="77777777" w:rsidR="003F595C" w:rsidRPr="00543034" w:rsidRDefault="003F595C" w:rsidP="00543034">
      <w:pPr>
        <w:spacing w:after="0" w:line="240" w:lineRule="auto"/>
        <w:rPr>
          <w:rFonts w:cstheme="minorHAnsi"/>
          <w:sz w:val="24"/>
          <w:szCs w:val="24"/>
        </w:rPr>
      </w:pPr>
    </w:p>
    <w:p w14:paraId="01C32DA1" w14:textId="1D434DB9" w:rsidR="00F66152" w:rsidRDefault="003F595C" w:rsidP="00F66152">
      <w:pPr>
        <w:spacing w:after="0" w:line="240" w:lineRule="auto"/>
        <w:rPr>
          <w:rFonts w:cstheme="minorHAnsi"/>
          <w:sz w:val="24"/>
          <w:szCs w:val="24"/>
        </w:rPr>
      </w:pPr>
      <w:r w:rsidRPr="00543034">
        <w:rPr>
          <w:rFonts w:cstheme="minorHAnsi"/>
          <w:color w:val="000000" w:themeColor="text1"/>
          <w:sz w:val="24"/>
          <w:szCs w:val="24"/>
        </w:rPr>
        <w:t xml:space="preserve">The </w:t>
      </w:r>
      <w:r w:rsidRPr="00543034">
        <w:rPr>
          <w:rFonts w:cstheme="minorHAnsi"/>
          <w:b/>
          <w:bCs/>
          <w:color w:val="000000" w:themeColor="text1"/>
          <w:sz w:val="24"/>
          <w:szCs w:val="24"/>
        </w:rPr>
        <w:t>proposed outcomes</w:t>
      </w:r>
      <w:r w:rsidRPr="00543034">
        <w:rPr>
          <w:rFonts w:cstheme="minorHAnsi"/>
          <w:color w:val="000000" w:themeColor="text1"/>
          <w:sz w:val="24"/>
          <w:szCs w:val="24"/>
        </w:rPr>
        <w:t xml:space="preserve"> are: </w:t>
      </w:r>
      <w:r w:rsidRPr="00543034">
        <w:rPr>
          <w:rFonts w:cstheme="minorHAnsi"/>
          <w:sz w:val="24"/>
          <w:szCs w:val="24"/>
        </w:rPr>
        <w:t xml:space="preserve">55% employment rate 2nd quarter after exit; 45% employment rate 4th quarter after exit; </w:t>
      </w:r>
      <w:r w:rsidR="00D220F6" w:rsidRPr="00543034">
        <w:rPr>
          <w:rFonts w:cstheme="minorHAnsi"/>
          <w:sz w:val="24"/>
          <w:szCs w:val="24"/>
        </w:rPr>
        <w:t xml:space="preserve">$5,000 </w:t>
      </w:r>
      <w:r w:rsidRPr="00543034">
        <w:rPr>
          <w:rFonts w:cstheme="minorHAnsi"/>
          <w:sz w:val="24"/>
          <w:szCs w:val="24"/>
        </w:rPr>
        <w:t>median earnings 2nd quarter after exit; 60% credential attainment; 65% measurable skill gains; and less than 4</w:t>
      </w:r>
      <w:r w:rsidR="00FF36EA" w:rsidRPr="00543034">
        <w:rPr>
          <w:rFonts w:cstheme="minorHAnsi"/>
          <w:sz w:val="24"/>
          <w:szCs w:val="24"/>
        </w:rPr>
        <w:t>6</w:t>
      </w:r>
      <w:r w:rsidRPr="00543034">
        <w:rPr>
          <w:rFonts w:cstheme="minorHAnsi"/>
          <w:sz w:val="24"/>
          <w:szCs w:val="24"/>
        </w:rPr>
        <w:t>% recidivism.</w:t>
      </w:r>
    </w:p>
    <w:p w14:paraId="5ADF47D8" w14:textId="77777777" w:rsidR="001B6548" w:rsidRDefault="001B6548" w:rsidP="00F66152">
      <w:pPr>
        <w:spacing w:after="0" w:line="240" w:lineRule="auto"/>
        <w:rPr>
          <w:b/>
          <w:bCs/>
          <w:color w:val="538135" w:themeColor="accent6" w:themeShade="BF"/>
          <w:sz w:val="28"/>
          <w:szCs w:val="28"/>
        </w:rPr>
      </w:pPr>
    </w:p>
    <w:p w14:paraId="5F414950" w14:textId="77777777" w:rsidR="001B6548" w:rsidRDefault="001B6548" w:rsidP="00F66152">
      <w:pPr>
        <w:spacing w:after="0" w:line="240" w:lineRule="auto"/>
        <w:rPr>
          <w:b/>
          <w:bCs/>
          <w:color w:val="538135" w:themeColor="accent6" w:themeShade="BF"/>
          <w:sz w:val="28"/>
          <w:szCs w:val="28"/>
        </w:rPr>
      </w:pPr>
    </w:p>
    <w:p w14:paraId="42E29D26" w14:textId="77777777" w:rsidR="00CF1832" w:rsidRDefault="00CF1832">
      <w:pPr>
        <w:rPr>
          <w:b/>
          <w:bCs/>
          <w:color w:val="538135" w:themeColor="accent6" w:themeShade="BF"/>
          <w:sz w:val="28"/>
          <w:szCs w:val="28"/>
        </w:rPr>
      </w:pPr>
      <w:r>
        <w:rPr>
          <w:b/>
          <w:bCs/>
          <w:color w:val="538135" w:themeColor="accent6" w:themeShade="BF"/>
          <w:sz w:val="28"/>
          <w:szCs w:val="28"/>
        </w:rPr>
        <w:br w:type="page"/>
      </w:r>
    </w:p>
    <w:p w14:paraId="15B43E88" w14:textId="2DCD953A" w:rsidR="00E3250C" w:rsidRPr="00F66152" w:rsidRDefault="00B50FC5" w:rsidP="00F66152">
      <w:pPr>
        <w:spacing w:after="0" w:line="240" w:lineRule="auto"/>
        <w:rPr>
          <w:rFonts w:cstheme="minorHAnsi"/>
          <w:color w:val="000000" w:themeColor="text1"/>
          <w:sz w:val="24"/>
          <w:szCs w:val="24"/>
        </w:rPr>
      </w:pPr>
      <w:r>
        <w:rPr>
          <w:b/>
          <w:bCs/>
          <w:color w:val="538135" w:themeColor="accent6" w:themeShade="BF"/>
          <w:sz w:val="28"/>
          <w:szCs w:val="28"/>
        </w:rPr>
        <w:lastRenderedPageBreak/>
        <w:t>Little Rock Workforce Development Board</w:t>
      </w:r>
    </w:p>
    <w:p w14:paraId="3ECFA8F8" w14:textId="65DCF01A" w:rsidR="00E3250C" w:rsidRPr="002D60D8" w:rsidRDefault="00B50FC5" w:rsidP="00E3250C">
      <w:pPr>
        <w:spacing w:after="40" w:line="240" w:lineRule="auto"/>
        <w:rPr>
          <w:rFonts w:cstheme="minorHAnsi"/>
          <w:sz w:val="24"/>
          <w:szCs w:val="24"/>
        </w:rPr>
      </w:pPr>
      <w:r w:rsidRPr="002D60D8">
        <w:rPr>
          <w:rFonts w:cstheme="minorHAnsi"/>
          <w:color w:val="2F5496" w:themeColor="accent1" w:themeShade="BF"/>
          <w:sz w:val="24"/>
          <w:szCs w:val="24"/>
        </w:rPr>
        <w:t>Little Rock, AR</w:t>
      </w:r>
    </w:p>
    <w:p w14:paraId="3F920976" w14:textId="77777777" w:rsidR="00E3250C" w:rsidRDefault="00E3250C" w:rsidP="00E3250C">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19244B87" w14:textId="77777777" w:rsidTr="00F93D74">
        <w:tc>
          <w:tcPr>
            <w:tcW w:w="3505" w:type="dxa"/>
          </w:tcPr>
          <w:p w14:paraId="48BF736F"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73BC4808" w14:textId="7AEDB05E" w:rsidR="001B6548" w:rsidRDefault="001B6548" w:rsidP="00F93D74">
            <w:pPr>
              <w:spacing w:after="40"/>
              <w:rPr>
                <w:rFonts w:cstheme="minorHAnsi"/>
                <w:sz w:val="24"/>
                <w:szCs w:val="24"/>
              </w:rPr>
            </w:pPr>
            <w:r w:rsidRPr="002D60D8">
              <w:rPr>
                <w:rFonts w:cstheme="minorHAnsi"/>
                <w:sz w:val="24"/>
                <w:szCs w:val="24"/>
              </w:rPr>
              <w:t>$4,000,000</w:t>
            </w:r>
          </w:p>
        </w:tc>
      </w:tr>
      <w:tr w:rsidR="001B6548" w14:paraId="636A22DC" w14:textId="77777777" w:rsidTr="00F93D74">
        <w:tc>
          <w:tcPr>
            <w:tcW w:w="3505" w:type="dxa"/>
          </w:tcPr>
          <w:p w14:paraId="20722DD2"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57549878" w14:textId="77777777" w:rsidR="001B6548" w:rsidRDefault="001B6548" w:rsidP="00F93D74">
            <w:pPr>
              <w:spacing w:after="40"/>
              <w:rPr>
                <w:rFonts w:cstheme="minorHAnsi"/>
                <w:sz w:val="24"/>
                <w:szCs w:val="24"/>
              </w:rPr>
            </w:pPr>
            <w:r w:rsidRPr="002D60D8">
              <w:rPr>
                <w:rFonts w:cstheme="minorHAnsi"/>
                <w:sz w:val="24"/>
                <w:szCs w:val="24"/>
              </w:rPr>
              <w:t>Direct</w:t>
            </w:r>
          </w:p>
        </w:tc>
      </w:tr>
      <w:tr w:rsidR="001B6548" w14:paraId="177CD0D6" w14:textId="77777777" w:rsidTr="00F93D74">
        <w:tc>
          <w:tcPr>
            <w:tcW w:w="3505" w:type="dxa"/>
          </w:tcPr>
          <w:p w14:paraId="79C84801"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137F58C2" w14:textId="4566233D" w:rsidR="001B6548" w:rsidRDefault="001B6548" w:rsidP="00F93D74">
            <w:pPr>
              <w:spacing w:after="40"/>
              <w:rPr>
                <w:rFonts w:cstheme="minorHAnsi"/>
                <w:sz w:val="24"/>
                <w:szCs w:val="24"/>
              </w:rPr>
            </w:pPr>
            <w:r>
              <w:rPr>
                <w:rFonts w:cstheme="minorHAnsi"/>
                <w:sz w:val="24"/>
                <w:szCs w:val="24"/>
              </w:rPr>
              <w:t>400</w:t>
            </w:r>
          </w:p>
        </w:tc>
      </w:tr>
      <w:tr w:rsidR="001B6548" w14:paraId="1C6C8FE4" w14:textId="77777777" w:rsidTr="00F93D74">
        <w:tc>
          <w:tcPr>
            <w:tcW w:w="3505" w:type="dxa"/>
          </w:tcPr>
          <w:p w14:paraId="2A646AB9"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7F3E8476" w14:textId="24093DA2" w:rsidR="001B6548" w:rsidRDefault="001B6548" w:rsidP="00F93D74">
            <w:pPr>
              <w:spacing w:after="40"/>
              <w:rPr>
                <w:rFonts w:cstheme="minorHAnsi"/>
                <w:sz w:val="24"/>
                <w:szCs w:val="24"/>
              </w:rPr>
            </w:pPr>
            <w:r>
              <w:rPr>
                <w:rFonts w:cstheme="minorHAnsi"/>
                <w:sz w:val="24"/>
                <w:szCs w:val="24"/>
              </w:rPr>
              <w:t xml:space="preserve">Hidden Creek Reentry Facility; </w:t>
            </w:r>
            <w:r w:rsidRPr="00984DC8">
              <w:rPr>
                <w:rFonts w:cstheme="minorHAnsi"/>
                <w:sz w:val="24"/>
                <w:szCs w:val="24"/>
              </w:rPr>
              <w:t>Omega Supervision Sanction Center</w:t>
            </w:r>
            <w:r>
              <w:rPr>
                <w:rFonts w:cstheme="minorHAnsi"/>
                <w:sz w:val="24"/>
                <w:szCs w:val="24"/>
              </w:rPr>
              <w:t xml:space="preserve">; </w:t>
            </w:r>
            <w:r w:rsidRPr="00984DC8">
              <w:rPr>
                <w:rFonts w:cstheme="minorHAnsi"/>
                <w:sz w:val="24"/>
                <w:szCs w:val="24"/>
              </w:rPr>
              <w:t>East Arkansas Community Correction Center</w:t>
            </w:r>
            <w:r>
              <w:rPr>
                <w:rFonts w:cstheme="minorHAnsi"/>
                <w:sz w:val="24"/>
                <w:szCs w:val="24"/>
              </w:rPr>
              <w:t>; Wrightsville Unit</w:t>
            </w:r>
          </w:p>
        </w:tc>
      </w:tr>
      <w:tr w:rsidR="001B6548" w14:paraId="257EB0F0" w14:textId="77777777" w:rsidTr="00F93D74">
        <w:tc>
          <w:tcPr>
            <w:tcW w:w="3505" w:type="dxa"/>
          </w:tcPr>
          <w:p w14:paraId="0BD8DC66"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198BDBDF" w14:textId="68959289" w:rsidR="001B6548" w:rsidRDefault="001B6548" w:rsidP="001B6548">
            <w:pPr>
              <w:spacing w:after="40"/>
              <w:rPr>
                <w:rFonts w:cstheme="minorHAnsi"/>
                <w:sz w:val="24"/>
                <w:szCs w:val="24"/>
              </w:rPr>
            </w:pPr>
            <w:r>
              <w:rPr>
                <w:rFonts w:cstheme="minorHAnsi"/>
                <w:sz w:val="24"/>
                <w:szCs w:val="24"/>
              </w:rPr>
              <w:t xml:space="preserve">Little Rock, Pulaski County, and the surrounding area </w:t>
            </w:r>
          </w:p>
        </w:tc>
      </w:tr>
    </w:tbl>
    <w:p w14:paraId="18D2AF1A" w14:textId="77777777" w:rsidR="00B50FC5" w:rsidRPr="002D60D8" w:rsidRDefault="00B50FC5" w:rsidP="00B50FC5">
      <w:pPr>
        <w:spacing w:after="40" w:line="240" w:lineRule="auto"/>
        <w:rPr>
          <w:rFonts w:cstheme="minorHAnsi"/>
          <w:sz w:val="24"/>
          <w:szCs w:val="24"/>
        </w:rPr>
      </w:pPr>
    </w:p>
    <w:p w14:paraId="0527CE43" w14:textId="66222FFD" w:rsidR="007D0A4C" w:rsidRDefault="00B50FC5" w:rsidP="006C6293">
      <w:pPr>
        <w:spacing w:after="0" w:line="240" w:lineRule="auto"/>
        <w:rPr>
          <w:rFonts w:cstheme="minorHAnsi"/>
          <w:sz w:val="24"/>
          <w:szCs w:val="24"/>
        </w:rPr>
      </w:pPr>
      <w:r w:rsidRPr="002D60D8">
        <w:rPr>
          <w:rFonts w:cstheme="minorHAnsi"/>
          <w:b/>
          <w:bCs/>
          <w:sz w:val="24"/>
          <w:szCs w:val="24"/>
        </w:rPr>
        <w:t>Project Summary:</w:t>
      </w:r>
      <w:r w:rsidRPr="002D60D8">
        <w:rPr>
          <w:rFonts w:cstheme="minorHAnsi"/>
        </w:rPr>
        <w:t xml:space="preserve">  </w:t>
      </w:r>
      <w:r w:rsidRPr="002D60D8">
        <w:rPr>
          <w:rFonts w:cstheme="minorHAnsi"/>
          <w:sz w:val="24"/>
          <w:szCs w:val="24"/>
        </w:rPr>
        <w:t xml:space="preserve">The purpose of </w:t>
      </w:r>
      <w:r w:rsidR="00642472">
        <w:rPr>
          <w:rFonts w:cstheme="minorHAnsi"/>
          <w:sz w:val="24"/>
          <w:szCs w:val="24"/>
        </w:rPr>
        <w:t>the Rock City Reentry – Pathway Home Project</w:t>
      </w:r>
      <w:r w:rsidR="006C6293">
        <w:rPr>
          <w:rFonts w:cstheme="minorHAnsi"/>
          <w:sz w:val="24"/>
          <w:szCs w:val="24"/>
        </w:rPr>
        <w:t xml:space="preserve"> (</w:t>
      </w:r>
      <w:r w:rsidR="006C6293" w:rsidRPr="001A5D7C">
        <w:rPr>
          <w:rFonts w:cstheme="minorHAnsi"/>
          <w:sz w:val="24"/>
          <w:szCs w:val="24"/>
        </w:rPr>
        <w:t>RCRP-PH</w:t>
      </w:r>
      <w:r w:rsidR="006C6293">
        <w:rPr>
          <w:rFonts w:cstheme="minorHAnsi"/>
          <w:sz w:val="24"/>
          <w:szCs w:val="24"/>
        </w:rPr>
        <w:t>)</w:t>
      </w:r>
      <w:r w:rsidR="007F35EE">
        <w:rPr>
          <w:rFonts w:cstheme="minorHAnsi"/>
          <w:sz w:val="24"/>
          <w:szCs w:val="24"/>
        </w:rPr>
        <w:t xml:space="preserve"> is to expand </w:t>
      </w:r>
      <w:r w:rsidR="007364E6">
        <w:rPr>
          <w:rFonts w:cstheme="minorHAnsi"/>
          <w:sz w:val="24"/>
          <w:szCs w:val="24"/>
        </w:rPr>
        <w:t>the Rock City Reentry Project’s</w:t>
      </w:r>
      <w:r w:rsidR="00642472">
        <w:rPr>
          <w:rFonts w:cstheme="minorHAnsi"/>
          <w:sz w:val="24"/>
          <w:szCs w:val="24"/>
        </w:rPr>
        <w:t xml:space="preserve"> </w:t>
      </w:r>
      <w:r w:rsidR="007F35EE" w:rsidRPr="007F35EE">
        <w:rPr>
          <w:rFonts w:cstheme="minorHAnsi"/>
          <w:sz w:val="24"/>
          <w:szCs w:val="24"/>
        </w:rPr>
        <w:t>innovative, collaborative service model that incorporates evidence-based case management, employment, and training practices to assist participants in pre-release planning and their post</w:t>
      </w:r>
      <w:r w:rsidR="007F35EE">
        <w:rPr>
          <w:rFonts w:cstheme="minorHAnsi"/>
          <w:sz w:val="24"/>
          <w:szCs w:val="24"/>
        </w:rPr>
        <w:t>-release transition into the community</w:t>
      </w:r>
      <w:r w:rsidR="007364E6">
        <w:rPr>
          <w:rFonts w:cstheme="minorHAnsi"/>
          <w:sz w:val="24"/>
          <w:szCs w:val="24"/>
        </w:rPr>
        <w:t xml:space="preserve">.  </w:t>
      </w:r>
      <w:r w:rsidR="00147367">
        <w:rPr>
          <w:rFonts w:cstheme="minorHAnsi"/>
          <w:sz w:val="24"/>
          <w:szCs w:val="24"/>
        </w:rPr>
        <w:t xml:space="preserve">Little Rock Workforce Development Board (LRWDB) </w:t>
      </w:r>
      <w:r w:rsidR="00147367" w:rsidRPr="00147367">
        <w:rPr>
          <w:rFonts w:cstheme="minorHAnsi"/>
          <w:sz w:val="24"/>
          <w:szCs w:val="24"/>
        </w:rPr>
        <w:t xml:space="preserve">has operated </w:t>
      </w:r>
      <w:r w:rsidR="00147367">
        <w:rPr>
          <w:rFonts w:cstheme="minorHAnsi"/>
          <w:sz w:val="24"/>
          <w:szCs w:val="24"/>
        </w:rPr>
        <w:t>the</w:t>
      </w:r>
      <w:r w:rsidR="00147367" w:rsidRPr="00147367">
        <w:rPr>
          <w:rFonts w:cstheme="minorHAnsi"/>
          <w:sz w:val="24"/>
          <w:szCs w:val="24"/>
        </w:rPr>
        <w:t xml:space="preserve"> Rock City Reentry Project over the past nine years, serving over 662 participants. </w:t>
      </w:r>
      <w:r w:rsidR="001A5D7C">
        <w:rPr>
          <w:rFonts w:cstheme="minorHAnsi"/>
          <w:sz w:val="24"/>
          <w:szCs w:val="24"/>
        </w:rPr>
        <w:t xml:space="preserve"> </w:t>
      </w:r>
      <w:r w:rsidR="00147367">
        <w:rPr>
          <w:rFonts w:cstheme="minorHAnsi"/>
          <w:sz w:val="24"/>
          <w:szCs w:val="24"/>
        </w:rPr>
        <w:t>This grant will allow LRWDB</w:t>
      </w:r>
      <w:r w:rsidR="00147367" w:rsidRPr="00147367">
        <w:rPr>
          <w:rFonts w:cstheme="minorHAnsi"/>
          <w:sz w:val="24"/>
          <w:szCs w:val="24"/>
        </w:rPr>
        <w:t xml:space="preserve"> </w:t>
      </w:r>
      <w:r w:rsidR="00147367">
        <w:rPr>
          <w:rFonts w:cstheme="minorHAnsi"/>
          <w:sz w:val="24"/>
          <w:szCs w:val="24"/>
        </w:rPr>
        <w:t>to</w:t>
      </w:r>
      <w:r w:rsidR="00147367" w:rsidRPr="00147367">
        <w:rPr>
          <w:rFonts w:cstheme="minorHAnsi"/>
          <w:sz w:val="24"/>
          <w:szCs w:val="24"/>
        </w:rPr>
        <w:t xml:space="preserve"> create new partnerships with Hidden Creek Reentry Facility</w:t>
      </w:r>
      <w:r w:rsidR="00984DC8">
        <w:rPr>
          <w:rFonts w:cstheme="minorHAnsi"/>
          <w:sz w:val="24"/>
          <w:szCs w:val="24"/>
        </w:rPr>
        <w:t xml:space="preserve">, </w:t>
      </w:r>
      <w:r w:rsidR="00147367" w:rsidRPr="00147367">
        <w:rPr>
          <w:rFonts w:cstheme="minorHAnsi"/>
          <w:sz w:val="24"/>
          <w:szCs w:val="24"/>
        </w:rPr>
        <w:t>Omega Supervision Sanction Center, East Arkansas Community Correction Center, and Pathway to Freedom, Inc. to enroll participants pre-release</w:t>
      </w:r>
      <w:r w:rsidR="00147367">
        <w:rPr>
          <w:rFonts w:cstheme="minorHAnsi"/>
          <w:sz w:val="24"/>
          <w:szCs w:val="24"/>
        </w:rPr>
        <w:t xml:space="preserve">.  </w:t>
      </w:r>
    </w:p>
    <w:p w14:paraId="73FBC8C9" w14:textId="77777777" w:rsidR="007D0A4C" w:rsidRDefault="007D0A4C" w:rsidP="006C6293">
      <w:pPr>
        <w:spacing w:after="0" w:line="240" w:lineRule="auto"/>
        <w:rPr>
          <w:rFonts w:cstheme="minorHAnsi"/>
          <w:sz w:val="24"/>
          <w:szCs w:val="24"/>
        </w:rPr>
      </w:pPr>
    </w:p>
    <w:p w14:paraId="65942B9F" w14:textId="21C16B69" w:rsidR="00B50FC5" w:rsidRPr="007364E6" w:rsidRDefault="001A5D7C" w:rsidP="006C6293">
      <w:pPr>
        <w:spacing w:after="0" w:line="240" w:lineRule="auto"/>
        <w:rPr>
          <w:rFonts w:cstheme="minorHAnsi"/>
          <w:sz w:val="24"/>
          <w:szCs w:val="24"/>
        </w:rPr>
      </w:pPr>
      <w:r w:rsidRPr="001A5D7C">
        <w:rPr>
          <w:rFonts w:cstheme="minorHAnsi"/>
          <w:sz w:val="24"/>
          <w:szCs w:val="24"/>
        </w:rPr>
        <w:t xml:space="preserve">Using evidence-based practices, </w:t>
      </w:r>
      <w:r>
        <w:rPr>
          <w:rFonts w:cstheme="minorHAnsi"/>
          <w:sz w:val="24"/>
          <w:szCs w:val="24"/>
        </w:rPr>
        <w:t>LRWDB’s</w:t>
      </w:r>
      <w:r w:rsidRPr="001A5D7C">
        <w:rPr>
          <w:rFonts w:cstheme="minorHAnsi"/>
          <w:sz w:val="24"/>
          <w:szCs w:val="24"/>
        </w:rPr>
        <w:t xml:space="preserve"> case management team will enroll 400</w:t>
      </w:r>
      <w:r>
        <w:rPr>
          <w:rFonts w:cstheme="minorHAnsi"/>
          <w:sz w:val="24"/>
          <w:szCs w:val="24"/>
        </w:rPr>
        <w:t xml:space="preserve"> </w:t>
      </w:r>
      <w:proofErr w:type="gramStart"/>
      <w:r w:rsidRPr="001A5D7C">
        <w:rPr>
          <w:rFonts w:cstheme="minorHAnsi"/>
          <w:sz w:val="24"/>
          <w:szCs w:val="24"/>
        </w:rPr>
        <w:t>individuals</w:t>
      </w:r>
      <w:proofErr w:type="gramEnd"/>
      <w:r w:rsidRPr="001A5D7C">
        <w:rPr>
          <w:rFonts w:cstheme="minorHAnsi"/>
          <w:sz w:val="24"/>
          <w:szCs w:val="24"/>
        </w:rPr>
        <w:t xml:space="preserve"> pre-release and develop comprehensive Individual Development Plans </w:t>
      </w:r>
      <w:r>
        <w:rPr>
          <w:rFonts w:cstheme="minorHAnsi"/>
          <w:sz w:val="24"/>
          <w:szCs w:val="24"/>
        </w:rPr>
        <w:t xml:space="preserve">(IDPs) </w:t>
      </w:r>
      <w:r w:rsidRPr="001A5D7C">
        <w:rPr>
          <w:rFonts w:cstheme="minorHAnsi"/>
          <w:sz w:val="24"/>
          <w:szCs w:val="24"/>
        </w:rPr>
        <w:t xml:space="preserve">to address barriers to employment and connect participants to in-demand occupational training, work experience and apprenticeship opportunities. </w:t>
      </w:r>
      <w:r w:rsidR="006C6293">
        <w:rPr>
          <w:rFonts w:cstheme="minorHAnsi"/>
          <w:sz w:val="24"/>
          <w:szCs w:val="24"/>
        </w:rPr>
        <w:t>Staff</w:t>
      </w:r>
      <w:r w:rsidRPr="001A5D7C">
        <w:rPr>
          <w:rFonts w:cstheme="minorHAnsi"/>
          <w:sz w:val="24"/>
          <w:szCs w:val="24"/>
        </w:rPr>
        <w:t xml:space="preserve"> have developed close partnerships with training providers in the fields of Professional Commercial Driving, Construction, Registered Apprenticeships, Advanced Manufacturing, Culinary Arts, and Retail as well as area employers, and criminal justice stakeholders, to provide</w:t>
      </w:r>
      <w:r>
        <w:rPr>
          <w:rFonts w:cstheme="minorHAnsi"/>
          <w:sz w:val="24"/>
          <w:szCs w:val="24"/>
        </w:rPr>
        <w:t xml:space="preserve"> </w:t>
      </w:r>
      <w:r w:rsidRPr="001A5D7C">
        <w:rPr>
          <w:rFonts w:cstheme="minorHAnsi"/>
          <w:sz w:val="24"/>
          <w:szCs w:val="24"/>
        </w:rPr>
        <w:t>high-quality job readiness training, occupational training, case management, legal advocacy, mental</w:t>
      </w:r>
      <w:r>
        <w:rPr>
          <w:rFonts w:cstheme="minorHAnsi"/>
          <w:sz w:val="24"/>
          <w:szCs w:val="24"/>
        </w:rPr>
        <w:t xml:space="preserve"> </w:t>
      </w:r>
      <w:r w:rsidRPr="001A5D7C">
        <w:rPr>
          <w:rFonts w:cstheme="minorHAnsi"/>
          <w:sz w:val="24"/>
          <w:szCs w:val="24"/>
        </w:rPr>
        <w:t xml:space="preserve">health counseling and referrals pre-release. </w:t>
      </w:r>
      <w:r w:rsidR="006C6293">
        <w:rPr>
          <w:rFonts w:cstheme="minorHAnsi"/>
          <w:sz w:val="24"/>
          <w:szCs w:val="24"/>
        </w:rPr>
        <w:t xml:space="preserve"> </w:t>
      </w:r>
      <w:r w:rsidRPr="001A5D7C">
        <w:rPr>
          <w:rFonts w:cstheme="minorHAnsi"/>
          <w:sz w:val="24"/>
          <w:szCs w:val="24"/>
        </w:rPr>
        <w:t xml:space="preserve">RCRP-PH will engage clients within the first 72 hours after release, a crucial period for effective service delivery. </w:t>
      </w:r>
      <w:r w:rsidR="006C6293">
        <w:rPr>
          <w:rFonts w:cstheme="minorHAnsi"/>
          <w:sz w:val="24"/>
          <w:szCs w:val="24"/>
        </w:rPr>
        <w:t xml:space="preserve"> </w:t>
      </w:r>
      <w:r w:rsidRPr="001A5D7C">
        <w:rPr>
          <w:rFonts w:cstheme="minorHAnsi"/>
          <w:sz w:val="24"/>
          <w:szCs w:val="24"/>
        </w:rPr>
        <w:t>After release, participants will continue with their case manager to receive comprehensive wrap-around services: peer support,</w:t>
      </w:r>
      <w:r>
        <w:rPr>
          <w:rFonts w:cstheme="minorHAnsi"/>
          <w:sz w:val="24"/>
          <w:szCs w:val="24"/>
        </w:rPr>
        <w:t xml:space="preserve"> c</w:t>
      </w:r>
      <w:r w:rsidRPr="001A5D7C">
        <w:rPr>
          <w:rFonts w:cstheme="minorHAnsi"/>
          <w:sz w:val="24"/>
          <w:szCs w:val="24"/>
        </w:rPr>
        <w:t>ommunity</w:t>
      </w:r>
      <w:r>
        <w:rPr>
          <w:rFonts w:cstheme="minorHAnsi"/>
          <w:sz w:val="24"/>
          <w:szCs w:val="24"/>
        </w:rPr>
        <w:t>-</w:t>
      </w:r>
      <w:r w:rsidRPr="001A5D7C">
        <w:rPr>
          <w:rFonts w:cstheme="minorHAnsi"/>
          <w:sz w:val="24"/>
          <w:szCs w:val="24"/>
        </w:rPr>
        <w:t>based mental health and substance abuse counseling, legal assistance, parenting workshops, adult education, benefits navigation, financial empowerment, industry recognized training, work experience and employment placement in high-paying jobs with partner employers. Highly equipped RCRP staff will continue to provide 12 months of follow-up services after employmen</w:t>
      </w:r>
      <w:r>
        <w:rPr>
          <w:rFonts w:cstheme="minorHAnsi"/>
          <w:sz w:val="24"/>
          <w:szCs w:val="24"/>
        </w:rPr>
        <w:t>t.</w:t>
      </w:r>
    </w:p>
    <w:p w14:paraId="4AB53666" w14:textId="77777777" w:rsidR="00B50FC5" w:rsidRPr="002D60D8" w:rsidRDefault="00B50FC5" w:rsidP="006C6293">
      <w:pPr>
        <w:spacing w:after="0" w:line="240" w:lineRule="auto"/>
        <w:rPr>
          <w:rFonts w:cstheme="minorHAnsi"/>
        </w:rPr>
      </w:pPr>
    </w:p>
    <w:p w14:paraId="34961F88" w14:textId="0F2A6D19" w:rsidR="00B50FC5" w:rsidRPr="00D100CC" w:rsidRDefault="00B50FC5" w:rsidP="00D100CC">
      <w:pPr>
        <w:spacing w:after="0" w:line="240" w:lineRule="auto"/>
        <w:rPr>
          <w:rFonts w:cstheme="minorHAnsi"/>
          <w:color w:val="000000" w:themeColor="text1"/>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w:t>
      </w:r>
      <w:r w:rsidRPr="003640E3">
        <w:rPr>
          <w:rFonts w:cstheme="minorHAnsi"/>
          <w:color w:val="000000" w:themeColor="text1"/>
          <w:sz w:val="24"/>
          <w:szCs w:val="24"/>
        </w:rPr>
        <w:t xml:space="preserve">e: </w:t>
      </w:r>
      <w:r w:rsidRPr="003640E3">
        <w:rPr>
          <w:rFonts w:cstheme="minorHAnsi"/>
          <w:sz w:val="24"/>
          <w:szCs w:val="24"/>
        </w:rPr>
        <w:t xml:space="preserve">55% employment rate 2nd quarter after exit; 45% employment rate 4th quarter after exit; </w:t>
      </w:r>
      <w:r w:rsidR="00D220F6">
        <w:rPr>
          <w:rFonts w:cstheme="minorHAnsi"/>
          <w:sz w:val="24"/>
          <w:szCs w:val="24"/>
        </w:rPr>
        <w:t xml:space="preserve">$6,000 </w:t>
      </w:r>
      <w:r w:rsidRPr="003640E3">
        <w:rPr>
          <w:rFonts w:cstheme="minorHAnsi"/>
          <w:sz w:val="24"/>
          <w:szCs w:val="24"/>
        </w:rPr>
        <w:t xml:space="preserve">median earnings 2nd quarter after exit; 60% credential attainment; 65% measurable skill gains; and less than </w:t>
      </w:r>
      <w:r w:rsidR="003640E3" w:rsidRPr="003640E3">
        <w:rPr>
          <w:rFonts w:cstheme="minorHAnsi"/>
          <w:sz w:val="24"/>
          <w:szCs w:val="24"/>
        </w:rPr>
        <w:t>16</w:t>
      </w:r>
      <w:r w:rsidRPr="003640E3">
        <w:rPr>
          <w:rFonts w:cstheme="minorHAnsi"/>
          <w:sz w:val="24"/>
          <w:szCs w:val="24"/>
        </w:rPr>
        <w:t>% recidivism.</w:t>
      </w:r>
    </w:p>
    <w:p w14:paraId="08CFFA9A" w14:textId="77777777" w:rsidR="00CF1832" w:rsidRDefault="00CF1832">
      <w:pPr>
        <w:rPr>
          <w:rFonts w:asciiTheme="majorHAnsi" w:eastAsiaTheme="majorEastAsia" w:hAnsiTheme="majorHAnsi" w:cstheme="majorBidi"/>
          <w:b/>
          <w:bCs/>
          <w:color w:val="538135" w:themeColor="accent6" w:themeShade="BF"/>
          <w:sz w:val="28"/>
          <w:szCs w:val="28"/>
        </w:rPr>
      </w:pPr>
      <w:r>
        <w:rPr>
          <w:b/>
          <w:bCs/>
          <w:color w:val="538135" w:themeColor="accent6" w:themeShade="BF"/>
          <w:sz w:val="28"/>
          <w:szCs w:val="28"/>
        </w:rPr>
        <w:br w:type="page"/>
      </w:r>
    </w:p>
    <w:p w14:paraId="49F43DBD" w14:textId="7736B523" w:rsidR="00E3250C" w:rsidRPr="0068745F" w:rsidRDefault="0068745F" w:rsidP="0068745F">
      <w:pPr>
        <w:pStyle w:val="Heading1"/>
        <w:rPr>
          <w:b/>
          <w:bCs/>
          <w:color w:val="538135" w:themeColor="accent6" w:themeShade="BF"/>
          <w:sz w:val="28"/>
          <w:szCs w:val="28"/>
        </w:rPr>
      </w:pPr>
      <w:bookmarkStart w:id="9" w:name="_Toc219121426"/>
      <w:r>
        <w:rPr>
          <w:b/>
          <w:bCs/>
          <w:color w:val="538135" w:themeColor="accent6" w:themeShade="BF"/>
          <w:sz w:val="28"/>
          <w:szCs w:val="28"/>
        </w:rPr>
        <w:lastRenderedPageBreak/>
        <w:t>Midwest Urban Strategies, Inc.</w:t>
      </w:r>
      <w:bookmarkEnd w:id="9"/>
    </w:p>
    <w:p w14:paraId="39F151C1" w14:textId="30250752" w:rsidR="00E3250C" w:rsidRPr="002D60D8" w:rsidRDefault="007660E2" w:rsidP="00E3250C">
      <w:pPr>
        <w:spacing w:after="40" w:line="240" w:lineRule="auto"/>
        <w:rPr>
          <w:rFonts w:cstheme="minorHAnsi"/>
          <w:sz w:val="24"/>
          <w:szCs w:val="24"/>
        </w:rPr>
      </w:pPr>
      <w:proofErr w:type="spellStart"/>
      <w:r w:rsidRPr="002D60D8">
        <w:rPr>
          <w:rFonts w:cstheme="minorHAnsi"/>
          <w:color w:val="2F5496" w:themeColor="accent1" w:themeShade="BF"/>
          <w:sz w:val="24"/>
          <w:szCs w:val="24"/>
        </w:rPr>
        <w:t>Elm</w:t>
      </w:r>
      <w:proofErr w:type="spellEnd"/>
      <w:r w:rsidRPr="002D60D8">
        <w:rPr>
          <w:rFonts w:cstheme="minorHAnsi"/>
          <w:color w:val="2F5496" w:themeColor="accent1" w:themeShade="BF"/>
          <w:sz w:val="24"/>
          <w:szCs w:val="24"/>
        </w:rPr>
        <w:t xml:space="preserve"> Grove, WI</w:t>
      </w:r>
    </w:p>
    <w:p w14:paraId="79DA27A3" w14:textId="77777777" w:rsidR="00E3250C" w:rsidRDefault="00E3250C" w:rsidP="00E3250C">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37E80C52" w14:textId="77777777" w:rsidTr="6AC93419">
        <w:tc>
          <w:tcPr>
            <w:tcW w:w="3505" w:type="dxa"/>
          </w:tcPr>
          <w:p w14:paraId="35D5AFBF"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61C4045B" w14:textId="77777777" w:rsidR="001B6548" w:rsidRDefault="001B6548" w:rsidP="00F93D74">
            <w:pPr>
              <w:spacing w:after="40"/>
              <w:rPr>
                <w:rFonts w:cstheme="minorHAnsi"/>
                <w:sz w:val="24"/>
                <w:szCs w:val="24"/>
              </w:rPr>
            </w:pPr>
            <w:r w:rsidRPr="002D60D8">
              <w:rPr>
                <w:rFonts w:cstheme="minorHAnsi"/>
                <w:sz w:val="24"/>
                <w:szCs w:val="24"/>
              </w:rPr>
              <w:t>$4,000,000</w:t>
            </w:r>
          </w:p>
        </w:tc>
      </w:tr>
      <w:tr w:rsidR="001B6548" w14:paraId="2E954A4E" w14:textId="77777777" w:rsidTr="6AC93419">
        <w:tc>
          <w:tcPr>
            <w:tcW w:w="3505" w:type="dxa"/>
          </w:tcPr>
          <w:p w14:paraId="5C2D89E4"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5A0FE371" w14:textId="2F624E28" w:rsidR="001B6548" w:rsidRDefault="001B6548" w:rsidP="00F93D74">
            <w:pPr>
              <w:spacing w:after="40"/>
              <w:rPr>
                <w:rFonts w:cstheme="minorHAnsi"/>
                <w:sz w:val="24"/>
                <w:szCs w:val="24"/>
              </w:rPr>
            </w:pPr>
            <w:r w:rsidRPr="002D60D8">
              <w:rPr>
                <w:rFonts w:cstheme="minorHAnsi"/>
                <w:sz w:val="24"/>
                <w:szCs w:val="24"/>
              </w:rPr>
              <w:t>Intermediary</w:t>
            </w:r>
          </w:p>
        </w:tc>
      </w:tr>
      <w:tr w:rsidR="001B6548" w14:paraId="7C5D273C" w14:textId="77777777" w:rsidTr="6AC93419">
        <w:tc>
          <w:tcPr>
            <w:tcW w:w="3505" w:type="dxa"/>
          </w:tcPr>
          <w:p w14:paraId="30506D86"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188689B2" w14:textId="77777777" w:rsidR="001B6548" w:rsidRDefault="001B6548" w:rsidP="00F93D74">
            <w:pPr>
              <w:spacing w:after="40"/>
              <w:rPr>
                <w:rFonts w:cstheme="minorHAnsi"/>
                <w:sz w:val="24"/>
                <w:szCs w:val="24"/>
              </w:rPr>
            </w:pPr>
            <w:r>
              <w:rPr>
                <w:rFonts w:cstheme="minorHAnsi"/>
                <w:sz w:val="24"/>
                <w:szCs w:val="24"/>
              </w:rPr>
              <w:t>400</w:t>
            </w:r>
          </w:p>
        </w:tc>
      </w:tr>
      <w:tr w:rsidR="001B6548" w14:paraId="320D9AB9" w14:textId="77777777" w:rsidTr="6AC93419">
        <w:tc>
          <w:tcPr>
            <w:tcW w:w="3505" w:type="dxa"/>
          </w:tcPr>
          <w:p w14:paraId="1CB72422"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38F1DF3B" w14:textId="7B7A7E40" w:rsidR="001B6548" w:rsidRDefault="00A7056F" w:rsidP="6AC93419">
            <w:pPr>
              <w:spacing w:after="40"/>
              <w:rPr>
                <w:sz w:val="24"/>
                <w:szCs w:val="24"/>
              </w:rPr>
            </w:pPr>
            <w:r w:rsidRPr="6AC93419">
              <w:rPr>
                <w:sz w:val="24"/>
                <w:szCs w:val="24"/>
              </w:rPr>
              <w:t>Kimbrough Detention Center; Westville Correctional Facility; Clay County Jail; Platte County Jail; Stark Regional Community Correction Center; Lawrance County Jail; Greene County Jail; Orange County Jail</w:t>
            </w:r>
          </w:p>
        </w:tc>
      </w:tr>
      <w:tr w:rsidR="00A7056F" w14:paraId="151FD62B" w14:textId="77777777" w:rsidTr="6AC93419">
        <w:tc>
          <w:tcPr>
            <w:tcW w:w="3505" w:type="dxa"/>
          </w:tcPr>
          <w:p w14:paraId="71AB1422" w14:textId="3659EB8C" w:rsidR="00A7056F" w:rsidRPr="002D60D8" w:rsidRDefault="00A7056F" w:rsidP="00F93D74">
            <w:pPr>
              <w:spacing w:after="40"/>
              <w:rPr>
                <w:rFonts w:cstheme="minorHAnsi"/>
                <w:b/>
                <w:bCs/>
                <w:sz w:val="24"/>
                <w:szCs w:val="24"/>
              </w:rPr>
            </w:pPr>
            <w:r>
              <w:rPr>
                <w:rFonts w:cstheme="minorHAnsi"/>
                <w:b/>
                <w:bCs/>
                <w:sz w:val="24"/>
                <w:szCs w:val="24"/>
              </w:rPr>
              <w:t>Subgrantees:</w:t>
            </w:r>
          </w:p>
        </w:tc>
        <w:tc>
          <w:tcPr>
            <w:tcW w:w="5845" w:type="dxa"/>
          </w:tcPr>
          <w:p w14:paraId="4B30404E" w14:textId="64D323D7" w:rsidR="00A7056F" w:rsidRDefault="43A6BBBE" w:rsidP="6AC93419">
            <w:pPr>
              <w:spacing w:after="40"/>
              <w:rPr>
                <w:sz w:val="24"/>
                <w:szCs w:val="24"/>
              </w:rPr>
            </w:pPr>
            <w:r w:rsidRPr="6AC93419">
              <w:rPr>
                <w:sz w:val="24"/>
                <w:szCs w:val="24"/>
              </w:rPr>
              <w:t>Center of Workforce Innovations, Inc.; Full Employment Council; Stark Tuscar</w:t>
            </w:r>
            <w:r w:rsidR="63F03D3A" w:rsidRPr="6AC93419">
              <w:rPr>
                <w:sz w:val="24"/>
                <w:szCs w:val="24"/>
              </w:rPr>
              <w:t>a</w:t>
            </w:r>
            <w:r w:rsidRPr="6AC93419">
              <w:rPr>
                <w:sz w:val="24"/>
                <w:szCs w:val="24"/>
              </w:rPr>
              <w:t>was W</w:t>
            </w:r>
            <w:r w:rsidR="75F19749" w:rsidRPr="6AC93419">
              <w:rPr>
                <w:sz w:val="24"/>
                <w:szCs w:val="24"/>
              </w:rPr>
              <w:t>DB</w:t>
            </w:r>
            <w:r w:rsidRPr="6AC93419">
              <w:rPr>
                <w:sz w:val="24"/>
                <w:szCs w:val="24"/>
              </w:rPr>
              <w:t>; South Central Region 8 W</w:t>
            </w:r>
            <w:r w:rsidR="7DD315AE" w:rsidRPr="6AC93419">
              <w:rPr>
                <w:sz w:val="24"/>
                <w:szCs w:val="24"/>
              </w:rPr>
              <w:t>DB</w:t>
            </w:r>
            <w:r w:rsidRPr="6AC93419">
              <w:rPr>
                <w:sz w:val="24"/>
                <w:szCs w:val="24"/>
              </w:rPr>
              <w:t>.</w:t>
            </w:r>
          </w:p>
        </w:tc>
      </w:tr>
      <w:tr w:rsidR="001B6548" w14:paraId="7E539BD2" w14:textId="77777777" w:rsidTr="6AC93419">
        <w:tc>
          <w:tcPr>
            <w:tcW w:w="3505" w:type="dxa"/>
          </w:tcPr>
          <w:p w14:paraId="4EF57F33"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5950A2DD" w14:textId="57DEF4DC" w:rsidR="004D278A" w:rsidRPr="004D278A" w:rsidRDefault="004D278A" w:rsidP="004D278A">
            <w:pPr>
              <w:spacing w:after="40"/>
              <w:rPr>
                <w:rFonts w:cstheme="minorHAnsi"/>
                <w:sz w:val="24"/>
                <w:szCs w:val="24"/>
              </w:rPr>
            </w:pPr>
            <w:r>
              <w:rPr>
                <w:rFonts w:cstheme="minorHAnsi"/>
                <w:sz w:val="24"/>
                <w:szCs w:val="24"/>
              </w:rPr>
              <w:t>J</w:t>
            </w:r>
            <w:r w:rsidRPr="004D278A">
              <w:rPr>
                <w:rFonts w:cstheme="minorHAnsi"/>
                <w:sz w:val="24"/>
                <w:szCs w:val="24"/>
              </w:rPr>
              <w:t xml:space="preserve">asper, Lake, LaPorte, Porter, Newton, Pulaski, Starke, </w:t>
            </w:r>
          </w:p>
          <w:p w14:paraId="3B1DB91F" w14:textId="2D2E1C9C" w:rsidR="001B6548" w:rsidRDefault="004D278A" w:rsidP="004D278A">
            <w:pPr>
              <w:spacing w:after="40"/>
              <w:rPr>
                <w:rFonts w:cstheme="minorHAnsi"/>
                <w:sz w:val="24"/>
                <w:szCs w:val="24"/>
              </w:rPr>
            </w:pPr>
            <w:r w:rsidRPr="004D278A">
              <w:rPr>
                <w:rFonts w:cstheme="minorHAnsi"/>
                <w:sz w:val="24"/>
                <w:szCs w:val="24"/>
              </w:rPr>
              <w:t>Greene, Lawrence, Orange</w:t>
            </w:r>
            <w:r>
              <w:rPr>
                <w:rFonts w:cstheme="minorHAnsi"/>
                <w:sz w:val="24"/>
                <w:szCs w:val="24"/>
              </w:rPr>
              <w:t xml:space="preserve"> – Indiana; Cass, Clay, Jackson, Platte, Ray – Missouri; Homes, Tuscarawas, Stark, Wayne - Ohio</w:t>
            </w:r>
          </w:p>
        </w:tc>
      </w:tr>
    </w:tbl>
    <w:p w14:paraId="460CCF34" w14:textId="77777777" w:rsidR="0068745F" w:rsidRPr="002D60D8" w:rsidRDefault="0068745F" w:rsidP="0068745F">
      <w:pPr>
        <w:spacing w:after="40" w:line="240" w:lineRule="auto"/>
        <w:rPr>
          <w:rFonts w:cstheme="minorHAnsi"/>
          <w:sz w:val="24"/>
          <w:szCs w:val="24"/>
        </w:rPr>
      </w:pPr>
    </w:p>
    <w:p w14:paraId="7475D315" w14:textId="71917CA1" w:rsidR="0068745F" w:rsidRPr="00A7056F" w:rsidRDefault="0068745F" w:rsidP="00A7056F">
      <w:pPr>
        <w:spacing w:after="40" w:line="240" w:lineRule="auto"/>
        <w:rPr>
          <w:rFonts w:cstheme="minorHAnsi"/>
          <w:sz w:val="24"/>
          <w:szCs w:val="24"/>
        </w:rPr>
      </w:pPr>
      <w:r w:rsidRPr="002D60D8">
        <w:rPr>
          <w:rFonts w:cstheme="minorHAnsi"/>
          <w:b/>
          <w:bCs/>
          <w:sz w:val="24"/>
          <w:szCs w:val="24"/>
        </w:rPr>
        <w:t>Project Summary</w:t>
      </w:r>
      <w:r w:rsidR="00A7056F" w:rsidRPr="002D60D8">
        <w:rPr>
          <w:rFonts w:cstheme="minorHAnsi"/>
          <w:b/>
          <w:bCs/>
          <w:sz w:val="24"/>
          <w:szCs w:val="24"/>
        </w:rPr>
        <w:t>:</w:t>
      </w:r>
      <w:r w:rsidR="00A7056F" w:rsidRPr="002D60D8">
        <w:rPr>
          <w:rFonts w:cstheme="minorHAnsi"/>
        </w:rPr>
        <w:t xml:space="preserve"> The</w:t>
      </w:r>
      <w:r w:rsidR="00A7056F" w:rsidRPr="00A7056F">
        <w:rPr>
          <w:rFonts w:cstheme="minorHAnsi"/>
          <w:sz w:val="24"/>
          <w:szCs w:val="24"/>
        </w:rPr>
        <w:t xml:space="preserve"> purpose of the MUS-PH6 is to present reintegration opportunities for individuals who are</w:t>
      </w:r>
      <w:r w:rsidR="00A7056F">
        <w:rPr>
          <w:rFonts w:cstheme="minorHAnsi"/>
          <w:sz w:val="24"/>
          <w:szCs w:val="24"/>
        </w:rPr>
        <w:t xml:space="preserve"> </w:t>
      </w:r>
      <w:r w:rsidR="00A7056F" w:rsidRPr="00A7056F">
        <w:rPr>
          <w:rFonts w:cstheme="minorHAnsi"/>
          <w:sz w:val="24"/>
          <w:szCs w:val="24"/>
        </w:rPr>
        <w:t>incarcerated and provide them with life skills, employment services, and support services that will help them prepare for a life of success post-release. The Managed Reentry Network</w:t>
      </w:r>
      <w:r w:rsidR="00A7056F">
        <w:rPr>
          <w:rFonts w:cstheme="minorHAnsi"/>
          <w:sz w:val="24"/>
          <w:szCs w:val="24"/>
        </w:rPr>
        <w:t xml:space="preserve"> </w:t>
      </w:r>
      <w:r w:rsidR="00A7056F" w:rsidRPr="00A7056F">
        <w:rPr>
          <w:rFonts w:cstheme="minorHAnsi"/>
          <w:sz w:val="24"/>
          <w:szCs w:val="24"/>
        </w:rPr>
        <w:t>facilitated by MUS will coordinate mandatory and supportive partners with the pre-release programming designed around employment skill-building, meaningful discharge planning and employment preparation and connection post-release to ensure positive reintegration in the community and the avoidance of recidivism. Incarcerated individuals transitioning back into their home communities need access to stable employment and community engagement that offers real-time commitment to rehabilitation to successfully reintegrate into society.</w:t>
      </w:r>
    </w:p>
    <w:p w14:paraId="73AA1DAE" w14:textId="5235DDEB" w:rsidR="0068745F" w:rsidRPr="002D60D8" w:rsidRDefault="0068745F" w:rsidP="6AC93419">
      <w:pPr>
        <w:spacing w:after="40" w:line="240" w:lineRule="auto"/>
        <w:rPr>
          <w:highlight w:val="yellow"/>
        </w:rPr>
      </w:pPr>
    </w:p>
    <w:p w14:paraId="6041827D" w14:textId="7E45DC78" w:rsidR="0068745F" w:rsidRPr="004F2D81" w:rsidRDefault="0068745F" w:rsidP="00A01BEB">
      <w:pPr>
        <w:spacing w:after="40" w:line="240" w:lineRule="auto"/>
        <w:rPr>
          <w:rFonts w:cstheme="minorHAnsi"/>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are: </w:t>
      </w:r>
      <w:r w:rsidRPr="0034066F">
        <w:rPr>
          <w:rFonts w:cstheme="minorHAnsi"/>
          <w:sz w:val="24"/>
          <w:szCs w:val="24"/>
        </w:rPr>
        <w:t xml:space="preserve">55% employment rate 2nd quarter after exit; 45% employment rate 4th quarter after exit; 60% credential attainment; </w:t>
      </w:r>
      <w:r w:rsidR="0034066F">
        <w:rPr>
          <w:rFonts w:cstheme="minorHAnsi"/>
          <w:sz w:val="24"/>
          <w:szCs w:val="24"/>
        </w:rPr>
        <w:t xml:space="preserve">and </w:t>
      </w:r>
      <w:r w:rsidRPr="0034066F">
        <w:rPr>
          <w:rFonts w:cstheme="minorHAnsi"/>
          <w:sz w:val="24"/>
          <w:szCs w:val="24"/>
        </w:rPr>
        <w:t>65% measurable skill gains</w:t>
      </w:r>
      <w:r w:rsidR="0034066F">
        <w:rPr>
          <w:rFonts w:cstheme="minorHAnsi"/>
          <w:sz w:val="24"/>
          <w:szCs w:val="24"/>
        </w:rPr>
        <w:t xml:space="preserve">.  Regarding the median </w:t>
      </w:r>
      <w:proofErr w:type="gramStart"/>
      <w:r w:rsidR="0034066F">
        <w:rPr>
          <w:rFonts w:cstheme="minorHAnsi"/>
          <w:sz w:val="24"/>
          <w:szCs w:val="24"/>
        </w:rPr>
        <w:t>earnings</w:t>
      </w:r>
      <w:proofErr w:type="gramEnd"/>
      <w:r w:rsidR="0034066F">
        <w:rPr>
          <w:rFonts w:cstheme="minorHAnsi"/>
          <w:sz w:val="24"/>
          <w:szCs w:val="24"/>
        </w:rPr>
        <w:t xml:space="preserve"> 2</w:t>
      </w:r>
      <w:r w:rsidR="0034066F" w:rsidRPr="0034066F">
        <w:rPr>
          <w:rFonts w:cstheme="minorHAnsi"/>
          <w:sz w:val="24"/>
          <w:szCs w:val="24"/>
          <w:vertAlign w:val="superscript"/>
        </w:rPr>
        <w:t>nd</w:t>
      </w:r>
      <w:r w:rsidR="0034066F">
        <w:rPr>
          <w:rFonts w:cstheme="minorHAnsi"/>
          <w:sz w:val="24"/>
          <w:szCs w:val="24"/>
        </w:rPr>
        <w:t xml:space="preserve"> quarter after exit measure, </w:t>
      </w:r>
      <w:r w:rsidR="004F2D81" w:rsidRPr="004F2D81">
        <w:rPr>
          <w:rFonts w:cstheme="minorHAnsi"/>
          <w:sz w:val="24"/>
          <w:szCs w:val="24"/>
        </w:rPr>
        <w:t>Midwest Urban Strategies,</w:t>
      </w:r>
      <w:r w:rsidR="00A7056F">
        <w:rPr>
          <w:rFonts w:cstheme="minorHAnsi"/>
          <w:sz w:val="24"/>
          <w:szCs w:val="24"/>
        </w:rPr>
        <w:t xml:space="preserve"> </w:t>
      </w:r>
      <w:r w:rsidR="004F2D81" w:rsidRPr="004F2D81">
        <w:rPr>
          <w:rFonts w:cstheme="minorHAnsi"/>
          <w:sz w:val="24"/>
          <w:szCs w:val="24"/>
        </w:rPr>
        <w:t>Inc. intends to serve participants across multiple states, where the minimum wage varies</w:t>
      </w:r>
      <w:r w:rsidR="004F2D81">
        <w:rPr>
          <w:rFonts w:cstheme="minorHAnsi"/>
          <w:sz w:val="24"/>
          <w:szCs w:val="24"/>
        </w:rPr>
        <w:t xml:space="preserve">; the </w:t>
      </w:r>
      <w:r w:rsidR="00C83A5A">
        <w:rPr>
          <w:rFonts w:cstheme="minorHAnsi"/>
          <w:sz w:val="24"/>
          <w:szCs w:val="24"/>
        </w:rPr>
        <w:t>PH6</w:t>
      </w:r>
      <w:r w:rsidR="00C83A5A" w:rsidRPr="00C83A5A">
        <w:t xml:space="preserve"> </w:t>
      </w:r>
      <w:r w:rsidR="00C83A5A">
        <w:rPr>
          <w:rFonts w:cstheme="minorHAnsi"/>
          <w:sz w:val="24"/>
          <w:szCs w:val="24"/>
        </w:rPr>
        <w:t>goal is</w:t>
      </w:r>
      <w:r w:rsidR="00C83A5A" w:rsidRPr="00C83A5A">
        <w:rPr>
          <w:rFonts w:cstheme="minorHAnsi"/>
          <w:sz w:val="24"/>
          <w:szCs w:val="24"/>
        </w:rPr>
        <w:t xml:space="preserve"> $6,000 if the minimum wage in the area served is $10/hour or more</w:t>
      </w:r>
      <w:r w:rsidR="00C83A5A">
        <w:rPr>
          <w:rFonts w:cstheme="minorHAnsi"/>
          <w:sz w:val="24"/>
          <w:szCs w:val="24"/>
        </w:rPr>
        <w:t xml:space="preserve"> and $5,000 if</w:t>
      </w:r>
      <w:r w:rsidR="00BB3C70">
        <w:rPr>
          <w:rFonts w:cstheme="minorHAnsi"/>
          <w:sz w:val="24"/>
          <w:szCs w:val="24"/>
        </w:rPr>
        <w:t xml:space="preserve"> the minimum wage is </w:t>
      </w:r>
      <w:r w:rsidR="00C83A5A" w:rsidRPr="00C83A5A">
        <w:rPr>
          <w:rFonts w:cstheme="minorHAnsi"/>
          <w:sz w:val="24"/>
          <w:szCs w:val="24"/>
        </w:rPr>
        <w:t>$9.99 or less per hour</w:t>
      </w:r>
      <w:r w:rsidR="00BB3C70">
        <w:rPr>
          <w:rFonts w:cstheme="minorHAnsi"/>
          <w:sz w:val="24"/>
          <w:szCs w:val="24"/>
        </w:rPr>
        <w:t xml:space="preserve">.  </w:t>
      </w:r>
      <w:r w:rsidR="004F2D81" w:rsidRPr="004F2D81">
        <w:rPr>
          <w:rFonts w:cstheme="minorHAnsi"/>
          <w:sz w:val="24"/>
          <w:szCs w:val="24"/>
        </w:rPr>
        <w:t xml:space="preserve">The grantee must keep track of these separate </w:t>
      </w:r>
      <w:proofErr w:type="gramStart"/>
      <w:r w:rsidR="004F2D81" w:rsidRPr="004F2D81">
        <w:rPr>
          <w:rFonts w:cstheme="minorHAnsi"/>
          <w:sz w:val="24"/>
          <w:szCs w:val="24"/>
        </w:rPr>
        <w:t>median</w:t>
      </w:r>
      <w:proofErr w:type="gramEnd"/>
      <w:r w:rsidR="004F2D81" w:rsidRPr="004F2D81">
        <w:rPr>
          <w:rFonts w:cstheme="minorHAnsi"/>
          <w:sz w:val="24"/>
          <w:szCs w:val="24"/>
        </w:rPr>
        <w:t>-earnings</w:t>
      </w:r>
      <w:r w:rsidR="00BB3C70">
        <w:rPr>
          <w:rFonts w:cstheme="minorHAnsi"/>
          <w:sz w:val="24"/>
          <w:szCs w:val="24"/>
        </w:rPr>
        <w:t>-</w:t>
      </w:r>
      <w:proofErr w:type="gramStart"/>
      <w:r w:rsidR="004F2D81" w:rsidRPr="004F2D81">
        <w:rPr>
          <w:rFonts w:cstheme="minorHAnsi"/>
          <w:sz w:val="24"/>
          <w:szCs w:val="24"/>
        </w:rPr>
        <w:t>second-quarter</w:t>
      </w:r>
      <w:proofErr w:type="gramEnd"/>
      <w:r w:rsidR="004F2D81" w:rsidRPr="004F2D81">
        <w:rPr>
          <w:rFonts w:cstheme="minorHAnsi"/>
          <w:sz w:val="24"/>
          <w:szCs w:val="24"/>
        </w:rPr>
        <w:t>-after-exit goals.</w:t>
      </w:r>
      <w:r w:rsidR="00BB3C70">
        <w:rPr>
          <w:rFonts w:cstheme="minorHAnsi"/>
          <w:sz w:val="24"/>
          <w:szCs w:val="24"/>
        </w:rPr>
        <w:t xml:space="preserve">  Similarly, </w:t>
      </w:r>
      <w:r w:rsidR="00A01BEB" w:rsidRPr="00A01BEB">
        <w:rPr>
          <w:rFonts w:cstheme="minorHAnsi"/>
          <w:sz w:val="24"/>
          <w:szCs w:val="24"/>
        </w:rPr>
        <w:t>Midwest Urban Strategies, Inc. must meet the PH6 goal of having a lower recidivism rate than the recidivism rate for the state in which it is operating. That rate is 38% in Indiana, 30% in Missouri, and 33% in Ohio, as stated in the grant agreement.</w:t>
      </w:r>
    </w:p>
    <w:p w14:paraId="2BB585E3" w14:textId="5D0C4611" w:rsidR="007660E2" w:rsidRDefault="007660E2">
      <w:pPr>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br w:type="page"/>
      </w:r>
    </w:p>
    <w:p w14:paraId="00251768" w14:textId="5D0C4611" w:rsidR="00636186" w:rsidRPr="007660E2" w:rsidRDefault="007660E2" w:rsidP="007660E2">
      <w:pPr>
        <w:pStyle w:val="Heading1"/>
        <w:rPr>
          <w:b/>
          <w:bCs/>
          <w:color w:val="538135" w:themeColor="accent6" w:themeShade="BF"/>
          <w:sz w:val="28"/>
          <w:szCs w:val="28"/>
        </w:rPr>
      </w:pPr>
      <w:bookmarkStart w:id="10" w:name="_Toc219121427"/>
      <w:r>
        <w:rPr>
          <w:b/>
          <w:bCs/>
          <w:color w:val="538135" w:themeColor="accent6" w:themeShade="BF"/>
          <w:sz w:val="28"/>
          <w:szCs w:val="28"/>
        </w:rPr>
        <w:lastRenderedPageBreak/>
        <w:t>National Restaurant Association Educational Foundation</w:t>
      </w:r>
      <w:bookmarkEnd w:id="10"/>
    </w:p>
    <w:p w14:paraId="29FF9EDD" w14:textId="76652177" w:rsidR="00636186" w:rsidRPr="002D60D8" w:rsidRDefault="007660E2" w:rsidP="00636186">
      <w:pPr>
        <w:spacing w:after="40" w:line="240" w:lineRule="auto"/>
        <w:rPr>
          <w:rFonts w:cstheme="minorHAnsi"/>
          <w:sz w:val="24"/>
          <w:szCs w:val="24"/>
        </w:rPr>
      </w:pPr>
      <w:r w:rsidRPr="002D60D8">
        <w:rPr>
          <w:rFonts w:cstheme="minorHAnsi"/>
          <w:color w:val="2F5496" w:themeColor="accent1" w:themeShade="BF"/>
          <w:sz w:val="24"/>
          <w:szCs w:val="24"/>
        </w:rPr>
        <w:t>Washington, DC</w:t>
      </w:r>
    </w:p>
    <w:p w14:paraId="31F4BBCB" w14:textId="77777777" w:rsidR="001B6548" w:rsidRDefault="001B6548" w:rsidP="65287A3E">
      <w:pPr>
        <w:spacing w:after="4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5216B99F" w14:textId="77777777" w:rsidTr="65287A3E">
        <w:tc>
          <w:tcPr>
            <w:tcW w:w="3505" w:type="dxa"/>
          </w:tcPr>
          <w:p w14:paraId="3D337360"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79DDEE95" w14:textId="77777777" w:rsidR="001B6548" w:rsidRDefault="001B6548" w:rsidP="00F93D74">
            <w:pPr>
              <w:spacing w:after="40"/>
              <w:rPr>
                <w:rFonts w:cstheme="minorHAnsi"/>
                <w:sz w:val="24"/>
                <w:szCs w:val="24"/>
              </w:rPr>
            </w:pPr>
            <w:r w:rsidRPr="002D60D8">
              <w:rPr>
                <w:rFonts w:cstheme="minorHAnsi"/>
                <w:sz w:val="24"/>
                <w:szCs w:val="24"/>
              </w:rPr>
              <w:t>$4,000,000</w:t>
            </w:r>
          </w:p>
        </w:tc>
      </w:tr>
      <w:tr w:rsidR="001B6548" w14:paraId="1F46BA0C" w14:textId="77777777" w:rsidTr="65287A3E">
        <w:tc>
          <w:tcPr>
            <w:tcW w:w="3505" w:type="dxa"/>
          </w:tcPr>
          <w:p w14:paraId="4CDBED64"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2C2EECFF" w14:textId="77777777" w:rsidR="001B6548" w:rsidRDefault="001B6548" w:rsidP="00F93D74">
            <w:pPr>
              <w:spacing w:after="40"/>
              <w:rPr>
                <w:rFonts w:cstheme="minorHAnsi"/>
                <w:sz w:val="24"/>
                <w:szCs w:val="24"/>
              </w:rPr>
            </w:pPr>
            <w:r w:rsidRPr="002D60D8">
              <w:rPr>
                <w:rFonts w:cstheme="minorHAnsi"/>
                <w:sz w:val="24"/>
                <w:szCs w:val="24"/>
              </w:rPr>
              <w:t>Intermediary</w:t>
            </w:r>
          </w:p>
        </w:tc>
      </w:tr>
      <w:tr w:rsidR="001B6548" w14:paraId="5787782D" w14:textId="77777777" w:rsidTr="65287A3E">
        <w:tc>
          <w:tcPr>
            <w:tcW w:w="3505" w:type="dxa"/>
          </w:tcPr>
          <w:p w14:paraId="775C15CE"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22BD6990" w14:textId="77777777" w:rsidR="001B6548" w:rsidRDefault="001B6548" w:rsidP="00F93D74">
            <w:pPr>
              <w:spacing w:after="40"/>
              <w:rPr>
                <w:rFonts w:cstheme="minorHAnsi"/>
                <w:sz w:val="24"/>
                <w:szCs w:val="24"/>
              </w:rPr>
            </w:pPr>
            <w:r>
              <w:rPr>
                <w:rFonts w:cstheme="minorHAnsi"/>
                <w:sz w:val="24"/>
                <w:szCs w:val="24"/>
              </w:rPr>
              <w:t>400</w:t>
            </w:r>
          </w:p>
        </w:tc>
      </w:tr>
      <w:tr w:rsidR="001B6548" w14:paraId="709DCA5E" w14:textId="77777777" w:rsidTr="65287A3E">
        <w:tc>
          <w:tcPr>
            <w:tcW w:w="3505" w:type="dxa"/>
          </w:tcPr>
          <w:p w14:paraId="031A3F67"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20FEF8DC" w14:textId="78EC9F72" w:rsidR="001B6548" w:rsidRDefault="20ED8D5E" w:rsidP="65287A3E">
            <w:pPr>
              <w:spacing w:after="40"/>
              <w:rPr>
                <w:sz w:val="24"/>
                <w:szCs w:val="24"/>
              </w:rPr>
            </w:pPr>
            <w:r w:rsidRPr="65287A3E">
              <w:rPr>
                <w:sz w:val="24"/>
                <w:szCs w:val="24"/>
              </w:rPr>
              <w:t>C</w:t>
            </w:r>
            <w:r w:rsidR="341977C5" w:rsidRPr="65287A3E">
              <w:rPr>
                <w:sz w:val="24"/>
                <w:szCs w:val="24"/>
              </w:rPr>
              <w:t>A</w:t>
            </w:r>
            <w:r w:rsidRPr="65287A3E">
              <w:rPr>
                <w:sz w:val="24"/>
                <w:szCs w:val="24"/>
              </w:rPr>
              <w:t xml:space="preserve"> Dept</w:t>
            </w:r>
            <w:r w:rsidR="74C2951F" w:rsidRPr="65287A3E">
              <w:rPr>
                <w:sz w:val="24"/>
                <w:szCs w:val="24"/>
              </w:rPr>
              <w:t>.</w:t>
            </w:r>
            <w:r w:rsidRPr="65287A3E">
              <w:rPr>
                <w:sz w:val="24"/>
                <w:szCs w:val="24"/>
              </w:rPr>
              <w:t xml:space="preserve"> of Corrections and Rehabilitation; D</w:t>
            </w:r>
            <w:r w:rsidR="11436672" w:rsidRPr="65287A3E">
              <w:rPr>
                <w:sz w:val="24"/>
                <w:szCs w:val="24"/>
              </w:rPr>
              <w:t>E</w:t>
            </w:r>
            <w:r w:rsidRPr="65287A3E">
              <w:rPr>
                <w:sz w:val="24"/>
                <w:szCs w:val="24"/>
              </w:rPr>
              <w:t xml:space="preserve"> Dept</w:t>
            </w:r>
            <w:r w:rsidR="6F91FF2D" w:rsidRPr="65287A3E">
              <w:rPr>
                <w:sz w:val="24"/>
                <w:szCs w:val="24"/>
              </w:rPr>
              <w:t>.</w:t>
            </w:r>
            <w:r w:rsidRPr="65287A3E">
              <w:rPr>
                <w:sz w:val="24"/>
                <w:szCs w:val="24"/>
              </w:rPr>
              <w:t xml:space="preserve"> of Corrections; M</w:t>
            </w:r>
            <w:r w:rsidR="2E580C2B" w:rsidRPr="65287A3E">
              <w:rPr>
                <w:sz w:val="24"/>
                <w:szCs w:val="24"/>
              </w:rPr>
              <w:t>A</w:t>
            </w:r>
            <w:r w:rsidRPr="65287A3E">
              <w:rPr>
                <w:sz w:val="24"/>
                <w:szCs w:val="24"/>
              </w:rPr>
              <w:t xml:space="preserve"> Dept</w:t>
            </w:r>
            <w:r w:rsidR="76EE4849" w:rsidRPr="65287A3E">
              <w:rPr>
                <w:sz w:val="24"/>
                <w:szCs w:val="24"/>
              </w:rPr>
              <w:t>.</w:t>
            </w:r>
            <w:r w:rsidRPr="65287A3E">
              <w:rPr>
                <w:sz w:val="24"/>
                <w:szCs w:val="24"/>
              </w:rPr>
              <w:t xml:space="preserve"> of Corrections; O</w:t>
            </w:r>
            <w:r w:rsidR="0DBBCE4A" w:rsidRPr="65287A3E">
              <w:rPr>
                <w:sz w:val="24"/>
                <w:szCs w:val="24"/>
              </w:rPr>
              <w:t xml:space="preserve">H </w:t>
            </w:r>
            <w:r w:rsidRPr="65287A3E">
              <w:rPr>
                <w:sz w:val="24"/>
                <w:szCs w:val="24"/>
              </w:rPr>
              <w:t>Dep</w:t>
            </w:r>
            <w:r w:rsidR="68D454F3" w:rsidRPr="65287A3E">
              <w:rPr>
                <w:sz w:val="24"/>
                <w:szCs w:val="24"/>
              </w:rPr>
              <w:t>t.</w:t>
            </w:r>
            <w:r w:rsidRPr="65287A3E">
              <w:rPr>
                <w:sz w:val="24"/>
                <w:szCs w:val="24"/>
              </w:rPr>
              <w:t xml:space="preserve"> of Rehabilitation and Corrections; Allegheny County Jail; Davidson County Sheriff’s Office </w:t>
            </w:r>
          </w:p>
        </w:tc>
      </w:tr>
      <w:tr w:rsidR="001B6548" w14:paraId="102B9BB4" w14:textId="77777777" w:rsidTr="65287A3E">
        <w:tc>
          <w:tcPr>
            <w:tcW w:w="3505" w:type="dxa"/>
          </w:tcPr>
          <w:p w14:paraId="70695CB3"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1516363E" w14:textId="3868472E" w:rsidR="001B6548" w:rsidRDefault="20ED8D5E" w:rsidP="65287A3E">
            <w:pPr>
              <w:spacing w:after="40"/>
              <w:rPr>
                <w:sz w:val="24"/>
                <w:szCs w:val="24"/>
              </w:rPr>
            </w:pPr>
            <w:r w:rsidRPr="65287A3E">
              <w:rPr>
                <w:sz w:val="24"/>
                <w:szCs w:val="24"/>
              </w:rPr>
              <w:t>Los Angeles, CA; Dover, Georgetown, Wilmington, DE; Boston, Worcester, MA; Clev</w:t>
            </w:r>
            <w:r w:rsidR="3B565B7C" w:rsidRPr="65287A3E">
              <w:rPr>
                <w:sz w:val="24"/>
                <w:szCs w:val="24"/>
              </w:rPr>
              <w:t>e</w:t>
            </w:r>
            <w:r w:rsidRPr="65287A3E">
              <w:rPr>
                <w:sz w:val="24"/>
                <w:szCs w:val="24"/>
              </w:rPr>
              <w:t>land, OH; Pittsburgh, PA; Greater Nashville, TN.</w:t>
            </w:r>
          </w:p>
        </w:tc>
      </w:tr>
    </w:tbl>
    <w:p w14:paraId="2D2AD1BE" w14:textId="77777777" w:rsidR="007660E2" w:rsidRPr="002D60D8" w:rsidRDefault="007660E2" w:rsidP="65287A3E">
      <w:pPr>
        <w:spacing w:after="40" w:line="240" w:lineRule="auto"/>
        <w:rPr>
          <w:sz w:val="16"/>
          <w:szCs w:val="16"/>
        </w:rPr>
      </w:pPr>
    </w:p>
    <w:p w14:paraId="276ABC25" w14:textId="51A665B7" w:rsidR="007660E2" w:rsidRDefault="007660E2" w:rsidP="65287A3E">
      <w:pPr>
        <w:spacing w:after="40" w:line="240" w:lineRule="auto"/>
        <w:rPr>
          <w:sz w:val="24"/>
          <w:szCs w:val="24"/>
        </w:rPr>
      </w:pPr>
      <w:r w:rsidRPr="65287A3E">
        <w:rPr>
          <w:b/>
          <w:bCs/>
          <w:sz w:val="24"/>
          <w:szCs w:val="24"/>
        </w:rPr>
        <w:t>Project Summary</w:t>
      </w:r>
      <w:proofErr w:type="gramStart"/>
      <w:r w:rsidRPr="65287A3E">
        <w:rPr>
          <w:b/>
          <w:bCs/>
          <w:sz w:val="24"/>
          <w:szCs w:val="24"/>
        </w:rPr>
        <w:t>:</w:t>
      </w:r>
      <w:r w:rsidRPr="65287A3E">
        <w:t xml:space="preserve">  </w:t>
      </w:r>
      <w:r w:rsidR="6C517614" w:rsidRPr="65287A3E">
        <w:rPr>
          <w:sz w:val="24"/>
          <w:szCs w:val="24"/>
        </w:rPr>
        <w:t>The</w:t>
      </w:r>
      <w:proofErr w:type="gramEnd"/>
      <w:r w:rsidR="6C517614" w:rsidRPr="65287A3E">
        <w:rPr>
          <w:sz w:val="24"/>
          <w:szCs w:val="24"/>
        </w:rPr>
        <w:t xml:space="preserve"> National Restaurant Association Educational Foundation (NRAEF) will use its PH6 grant </w:t>
      </w:r>
      <w:proofErr w:type="gramStart"/>
      <w:r w:rsidR="6C517614" w:rsidRPr="65287A3E">
        <w:rPr>
          <w:sz w:val="24"/>
          <w:szCs w:val="24"/>
        </w:rPr>
        <w:t>to be</w:t>
      </w:r>
      <w:proofErr w:type="gramEnd"/>
      <w:r w:rsidR="6C517614" w:rsidRPr="65287A3E">
        <w:rPr>
          <w:sz w:val="24"/>
          <w:szCs w:val="24"/>
        </w:rPr>
        <w:t xml:space="preserve"> expand its Hospitality Opportunities for People (re)Entering Society (HOPES) program to six</w:t>
      </w:r>
      <w:r w:rsidR="6061CBDE" w:rsidRPr="65287A3E">
        <w:rPr>
          <w:sz w:val="24"/>
          <w:szCs w:val="24"/>
        </w:rPr>
        <w:t xml:space="preserve"> </w:t>
      </w:r>
      <w:r w:rsidR="6C517614" w:rsidRPr="65287A3E">
        <w:rPr>
          <w:sz w:val="24"/>
          <w:szCs w:val="24"/>
        </w:rPr>
        <w:t xml:space="preserve">states: California, Delaware, Massachusetts, Ohio, Pennsylvania, and Tennessee. </w:t>
      </w:r>
      <w:r w:rsidR="6242B457" w:rsidRPr="65287A3E">
        <w:rPr>
          <w:sz w:val="24"/>
          <w:szCs w:val="24"/>
        </w:rPr>
        <w:t xml:space="preserve"> </w:t>
      </w:r>
      <w:r w:rsidR="6C517614" w:rsidRPr="65287A3E">
        <w:rPr>
          <w:sz w:val="24"/>
          <w:szCs w:val="24"/>
        </w:rPr>
        <w:t xml:space="preserve">HOPES is a hospitality sector strategy that uses a community collaborative model to deliver sequenced job readiness training, occupational training, industry credentials, employment, and advancement opportunities. </w:t>
      </w:r>
      <w:r w:rsidR="0710024B" w:rsidRPr="65287A3E">
        <w:rPr>
          <w:sz w:val="24"/>
          <w:szCs w:val="24"/>
        </w:rPr>
        <w:t xml:space="preserve"> </w:t>
      </w:r>
      <w:r w:rsidR="6C517614" w:rsidRPr="65287A3E">
        <w:rPr>
          <w:sz w:val="24"/>
          <w:szCs w:val="24"/>
        </w:rPr>
        <w:t xml:space="preserve">To implement HOPES, NRAEF serves as an intermediary organization, connecting Correctional Facility Agencies (CFAs), Community-Based Organizations (CBOs), and State Restaurant Associations (SRAs) in each service area. </w:t>
      </w:r>
      <w:r w:rsidR="7EC336C8" w:rsidRPr="65287A3E">
        <w:rPr>
          <w:sz w:val="24"/>
          <w:szCs w:val="24"/>
        </w:rPr>
        <w:t xml:space="preserve"> </w:t>
      </w:r>
      <w:r w:rsidR="6C517614" w:rsidRPr="65287A3E">
        <w:rPr>
          <w:sz w:val="24"/>
          <w:szCs w:val="24"/>
        </w:rPr>
        <w:t xml:space="preserve">Across two DOL grants and one DOJ grant, NRAEF’s HOPES Program has </w:t>
      </w:r>
      <w:r w:rsidR="157F44D8" w:rsidRPr="65287A3E">
        <w:rPr>
          <w:sz w:val="24"/>
          <w:szCs w:val="24"/>
        </w:rPr>
        <w:t xml:space="preserve">already </w:t>
      </w:r>
      <w:r w:rsidR="6C517614" w:rsidRPr="65287A3E">
        <w:rPr>
          <w:sz w:val="24"/>
          <w:szCs w:val="24"/>
        </w:rPr>
        <w:t>served over 1,200 individuals in partnership with seven state Departments of Corrections, four county/city jails, and two county sheriff’s offices</w:t>
      </w:r>
      <w:r w:rsidR="52CF9947" w:rsidRPr="65287A3E">
        <w:rPr>
          <w:sz w:val="24"/>
          <w:szCs w:val="24"/>
        </w:rPr>
        <w:t>.</w:t>
      </w:r>
    </w:p>
    <w:p w14:paraId="4473FF3B" w14:textId="77777777" w:rsidR="007660E2" w:rsidRPr="002D60D8" w:rsidRDefault="007660E2" w:rsidP="65287A3E">
      <w:pPr>
        <w:spacing w:after="40" w:line="240" w:lineRule="auto"/>
        <w:rPr>
          <w:sz w:val="16"/>
          <w:szCs w:val="16"/>
        </w:rPr>
      </w:pPr>
    </w:p>
    <w:p w14:paraId="4D5BC58C" w14:textId="23B7672A" w:rsidR="00AC1691" w:rsidRDefault="007660E2" w:rsidP="65287A3E">
      <w:pPr>
        <w:spacing w:after="40" w:line="240" w:lineRule="auto"/>
        <w:rPr>
          <w:sz w:val="24"/>
          <w:szCs w:val="24"/>
        </w:rPr>
      </w:pPr>
      <w:r w:rsidRPr="028B06BA">
        <w:rPr>
          <w:color w:val="000000" w:themeColor="text1"/>
          <w:sz w:val="24"/>
          <w:szCs w:val="24"/>
        </w:rPr>
        <w:t xml:space="preserve">The </w:t>
      </w:r>
      <w:r w:rsidRPr="028B06BA">
        <w:rPr>
          <w:b/>
          <w:bCs/>
          <w:color w:val="000000" w:themeColor="text1"/>
          <w:sz w:val="24"/>
          <w:szCs w:val="24"/>
        </w:rPr>
        <w:t>proposed outcomes</w:t>
      </w:r>
      <w:r w:rsidRPr="028B06BA">
        <w:rPr>
          <w:color w:val="000000" w:themeColor="text1"/>
          <w:sz w:val="24"/>
          <w:szCs w:val="24"/>
        </w:rPr>
        <w:t xml:space="preserve"> are: </w:t>
      </w:r>
      <w:r w:rsidRPr="028B06BA">
        <w:rPr>
          <w:sz w:val="24"/>
          <w:szCs w:val="24"/>
        </w:rPr>
        <w:t xml:space="preserve">55% employment rate 2nd quarter after exit; 45% employment rate 4th quarter after exit; 60% credential attainment; </w:t>
      </w:r>
      <w:r w:rsidR="008D0F2C" w:rsidRPr="028B06BA">
        <w:rPr>
          <w:sz w:val="24"/>
          <w:szCs w:val="24"/>
        </w:rPr>
        <w:t xml:space="preserve">and </w:t>
      </w:r>
      <w:r w:rsidR="002D773A" w:rsidRPr="028B06BA">
        <w:rPr>
          <w:sz w:val="24"/>
          <w:szCs w:val="24"/>
        </w:rPr>
        <w:t>70</w:t>
      </w:r>
      <w:r w:rsidRPr="028B06BA">
        <w:rPr>
          <w:sz w:val="24"/>
          <w:szCs w:val="24"/>
        </w:rPr>
        <w:t>% measurable skill gains</w:t>
      </w:r>
      <w:r w:rsidR="008D0F2C" w:rsidRPr="028B06BA">
        <w:rPr>
          <w:sz w:val="24"/>
          <w:szCs w:val="24"/>
        </w:rPr>
        <w:t>.  Regarding the median earnings 2</w:t>
      </w:r>
      <w:r w:rsidR="008D0F2C" w:rsidRPr="028B06BA">
        <w:rPr>
          <w:sz w:val="24"/>
          <w:szCs w:val="24"/>
          <w:vertAlign w:val="superscript"/>
        </w:rPr>
        <w:t>nd</w:t>
      </w:r>
      <w:r w:rsidR="008D0F2C" w:rsidRPr="028B06BA">
        <w:rPr>
          <w:sz w:val="24"/>
          <w:szCs w:val="24"/>
        </w:rPr>
        <w:t xml:space="preserve"> quarter after exit measure, </w:t>
      </w:r>
      <w:r w:rsidR="00D15BEB" w:rsidRPr="028B06BA">
        <w:rPr>
          <w:sz w:val="24"/>
          <w:szCs w:val="24"/>
        </w:rPr>
        <w:t>NRAEF</w:t>
      </w:r>
      <w:r w:rsidR="008D0F2C" w:rsidRPr="028B06BA">
        <w:rPr>
          <w:sz w:val="24"/>
          <w:szCs w:val="24"/>
        </w:rPr>
        <w:t xml:space="preserve"> intends to serve participants across multiple states, where the minimum wage varies; the PH6</w:t>
      </w:r>
      <w:r w:rsidR="008D0F2C">
        <w:t xml:space="preserve"> </w:t>
      </w:r>
      <w:r w:rsidR="008D0F2C" w:rsidRPr="028B06BA">
        <w:rPr>
          <w:sz w:val="24"/>
          <w:szCs w:val="24"/>
        </w:rPr>
        <w:t xml:space="preserve">goal is $6,000 if the minimum wage in the area served is $10/hour or more and $5,000 if the minimum wage is $9.99 or less per hour.  The grantee must keep track of these separate </w:t>
      </w:r>
      <w:proofErr w:type="gramStart"/>
      <w:r w:rsidR="008D0F2C" w:rsidRPr="028B06BA">
        <w:rPr>
          <w:sz w:val="24"/>
          <w:szCs w:val="24"/>
        </w:rPr>
        <w:t>median</w:t>
      </w:r>
      <w:proofErr w:type="gramEnd"/>
      <w:r w:rsidR="008D0F2C" w:rsidRPr="028B06BA">
        <w:rPr>
          <w:sz w:val="24"/>
          <w:szCs w:val="24"/>
        </w:rPr>
        <w:t>-earnings-</w:t>
      </w:r>
      <w:proofErr w:type="gramStart"/>
      <w:r w:rsidR="008D0F2C" w:rsidRPr="028B06BA">
        <w:rPr>
          <w:sz w:val="24"/>
          <w:szCs w:val="24"/>
        </w:rPr>
        <w:t>second-quarter</w:t>
      </w:r>
      <w:proofErr w:type="gramEnd"/>
      <w:r w:rsidR="008D0F2C" w:rsidRPr="028B06BA">
        <w:rPr>
          <w:sz w:val="24"/>
          <w:szCs w:val="24"/>
        </w:rPr>
        <w:t xml:space="preserve">-after-exit goals.  </w:t>
      </w:r>
      <w:r w:rsidR="00D15BEB" w:rsidRPr="028B06BA">
        <w:rPr>
          <w:sz w:val="24"/>
          <w:szCs w:val="24"/>
        </w:rPr>
        <w:t>NRAEF must</w:t>
      </w:r>
      <w:r w:rsidR="000763D4" w:rsidRPr="028B06BA">
        <w:rPr>
          <w:sz w:val="24"/>
          <w:szCs w:val="24"/>
        </w:rPr>
        <w:t xml:space="preserve"> meet </w:t>
      </w:r>
      <w:r w:rsidR="0B39B0CA" w:rsidRPr="028B06BA">
        <w:rPr>
          <w:sz w:val="24"/>
          <w:szCs w:val="24"/>
        </w:rPr>
        <w:t>its</w:t>
      </w:r>
      <w:r w:rsidR="000763D4" w:rsidRPr="028B06BA">
        <w:rPr>
          <w:sz w:val="24"/>
          <w:szCs w:val="24"/>
        </w:rPr>
        <w:t xml:space="preserve"> goal of having a recidivism rate </w:t>
      </w:r>
      <w:r w:rsidR="57857411" w:rsidRPr="028B06BA">
        <w:rPr>
          <w:sz w:val="24"/>
          <w:szCs w:val="24"/>
        </w:rPr>
        <w:t>under 10%</w:t>
      </w:r>
      <w:r w:rsidR="000763D4" w:rsidRPr="028B06BA">
        <w:rPr>
          <w:sz w:val="24"/>
          <w:szCs w:val="24"/>
        </w:rPr>
        <w:t xml:space="preserve">.  </w:t>
      </w:r>
    </w:p>
    <w:p w14:paraId="72BEE8D6" w14:textId="77777777" w:rsidR="00AC1691" w:rsidRDefault="00AC1691" w:rsidP="65287A3E">
      <w:pPr>
        <w:spacing w:after="40" w:line="240" w:lineRule="auto"/>
        <w:rPr>
          <w:sz w:val="16"/>
          <w:szCs w:val="16"/>
        </w:rPr>
      </w:pPr>
    </w:p>
    <w:p w14:paraId="03AF7661" w14:textId="7F5F09BD" w:rsidR="007660E2" w:rsidRPr="00DB4318" w:rsidRDefault="004F436C" w:rsidP="65287A3E">
      <w:pPr>
        <w:spacing w:after="40" w:line="240" w:lineRule="auto"/>
        <w:rPr>
          <w:sz w:val="24"/>
          <w:szCs w:val="24"/>
        </w:rPr>
      </w:pPr>
      <w:r w:rsidRPr="028B06BA">
        <w:rPr>
          <w:sz w:val="24"/>
          <w:szCs w:val="24"/>
        </w:rPr>
        <w:t xml:space="preserve">In addition to the WIOA Primary Indicators of Performance goals and the REO-specific performance goals, </w:t>
      </w:r>
      <w:r w:rsidR="00F52B9D" w:rsidRPr="028B06BA">
        <w:rPr>
          <w:sz w:val="24"/>
          <w:szCs w:val="24"/>
        </w:rPr>
        <w:t>NRAEF</w:t>
      </w:r>
      <w:r w:rsidRPr="028B06BA">
        <w:rPr>
          <w:sz w:val="24"/>
          <w:szCs w:val="24"/>
        </w:rPr>
        <w:t xml:space="preserve"> has proposed additional outcomes: </w:t>
      </w:r>
      <w:r w:rsidR="38459A80" w:rsidRPr="028B06BA">
        <w:rPr>
          <w:sz w:val="24"/>
          <w:szCs w:val="24"/>
        </w:rPr>
        <w:t xml:space="preserve">less than 5% arrests for violent crimes committed after enrollment; 60% occupational skills training; </w:t>
      </w:r>
      <w:r w:rsidR="00F52B9D" w:rsidRPr="028B06BA">
        <w:rPr>
          <w:sz w:val="24"/>
          <w:szCs w:val="24"/>
        </w:rPr>
        <w:t>75% of credentials obtained that are hospitality industry; 70% employment/education placement; 70% employment obtained that is within the hospitality industry; and, 70 industry employers who hire HOPES participants</w:t>
      </w:r>
      <w:r w:rsidR="00BE51FC" w:rsidRPr="028B06BA">
        <w:rPr>
          <w:sz w:val="24"/>
          <w:szCs w:val="24"/>
        </w:rPr>
        <w:t>.</w:t>
      </w:r>
      <w:r w:rsidR="00F52B9D" w:rsidRPr="028B06BA">
        <w:rPr>
          <w:sz w:val="24"/>
          <w:szCs w:val="24"/>
        </w:rPr>
        <w:t xml:space="preserve">  </w:t>
      </w:r>
    </w:p>
    <w:p w14:paraId="790A4250" w14:textId="77777777" w:rsidR="007660E2" w:rsidRPr="002D60D8" w:rsidRDefault="007660E2">
      <w:pPr>
        <w:rPr>
          <w:rFonts w:cstheme="minorHAnsi"/>
          <w:color w:val="538135" w:themeColor="accent6" w:themeShade="BF"/>
          <w:sz w:val="24"/>
          <w:szCs w:val="24"/>
        </w:rPr>
      </w:pPr>
      <w:r w:rsidRPr="002D60D8">
        <w:rPr>
          <w:rFonts w:cstheme="minorHAnsi"/>
          <w:color w:val="538135" w:themeColor="accent6" w:themeShade="BF"/>
          <w:sz w:val="24"/>
          <w:szCs w:val="24"/>
        </w:rPr>
        <w:br w:type="page"/>
      </w:r>
    </w:p>
    <w:p w14:paraId="1B2A9510" w14:textId="1CDBBF36" w:rsidR="001774A7" w:rsidRPr="00405A30" w:rsidRDefault="00405A30" w:rsidP="00405A30">
      <w:pPr>
        <w:pStyle w:val="Heading1"/>
        <w:rPr>
          <w:b/>
          <w:bCs/>
          <w:color w:val="538135" w:themeColor="accent6" w:themeShade="BF"/>
          <w:sz w:val="28"/>
          <w:szCs w:val="28"/>
        </w:rPr>
      </w:pPr>
      <w:bookmarkStart w:id="11" w:name="_Toc219121428"/>
      <w:r w:rsidRPr="00405A30">
        <w:rPr>
          <w:b/>
          <w:bCs/>
          <w:color w:val="538135" w:themeColor="accent6" w:themeShade="BF"/>
          <w:sz w:val="28"/>
          <w:szCs w:val="28"/>
        </w:rPr>
        <w:lastRenderedPageBreak/>
        <w:t>North Carolina Department of Commerce, Division of Workforce Solutions</w:t>
      </w:r>
      <w:bookmarkEnd w:id="11"/>
    </w:p>
    <w:p w14:paraId="4BA550FE" w14:textId="2DD8DC5E" w:rsidR="001774A7" w:rsidRPr="002D60D8" w:rsidRDefault="0013508A" w:rsidP="001774A7">
      <w:pPr>
        <w:spacing w:after="40" w:line="240" w:lineRule="auto"/>
        <w:rPr>
          <w:rFonts w:cstheme="minorHAnsi"/>
          <w:sz w:val="24"/>
          <w:szCs w:val="24"/>
        </w:rPr>
      </w:pPr>
      <w:r w:rsidRPr="002D60D8">
        <w:rPr>
          <w:rFonts w:cstheme="minorHAnsi"/>
          <w:color w:val="2F5496" w:themeColor="accent1" w:themeShade="BF"/>
          <w:sz w:val="24"/>
          <w:szCs w:val="24"/>
        </w:rPr>
        <w:t>Raleigh, NC</w:t>
      </w:r>
    </w:p>
    <w:p w14:paraId="2020F35F" w14:textId="77777777" w:rsidR="001774A7" w:rsidRDefault="001774A7" w:rsidP="001774A7">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4B781DD9" w14:textId="77777777" w:rsidTr="00F93D74">
        <w:tc>
          <w:tcPr>
            <w:tcW w:w="3505" w:type="dxa"/>
          </w:tcPr>
          <w:p w14:paraId="7893355B"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4272DC3E" w14:textId="77777777" w:rsidR="001B6548" w:rsidRDefault="001B6548" w:rsidP="00F93D74">
            <w:pPr>
              <w:spacing w:after="40"/>
              <w:rPr>
                <w:rFonts w:cstheme="minorHAnsi"/>
                <w:sz w:val="24"/>
                <w:szCs w:val="24"/>
              </w:rPr>
            </w:pPr>
            <w:r w:rsidRPr="002D60D8">
              <w:rPr>
                <w:rFonts w:cstheme="minorHAnsi"/>
                <w:sz w:val="24"/>
                <w:szCs w:val="24"/>
              </w:rPr>
              <w:t>$4,000,000</w:t>
            </w:r>
          </w:p>
        </w:tc>
      </w:tr>
      <w:tr w:rsidR="001B6548" w14:paraId="469D99EA" w14:textId="77777777" w:rsidTr="00F93D74">
        <w:tc>
          <w:tcPr>
            <w:tcW w:w="3505" w:type="dxa"/>
          </w:tcPr>
          <w:p w14:paraId="5A1DFA2D"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4B138336" w14:textId="4EDA42A0" w:rsidR="001B6548" w:rsidRDefault="001B6548" w:rsidP="00F93D74">
            <w:pPr>
              <w:spacing w:after="40"/>
              <w:rPr>
                <w:rFonts w:cstheme="minorHAnsi"/>
                <w:sz w:val="24"/>
                <w:szCs w:val="24"/>
              </w:rPr>
            </w:pPr>
            <w:r>
              <w:rPr>
                <w:rFonts w:cstheme="minorHAnsi"/>
                <w:sz w:val="24"/>
                <w:szCs w:val="24"/>
              </w:rPr>
              <w:t>Direct</w:t>
            </w:r>
          </w:p>
        </w:tc>
      </w:tr>
      <w:tr w:rsidR="001B6548" w14:paraId="3EC04D21" w14:textId="77777777" w:rsidTr="00F93D74">
        <w:tc>
          <w:tcPr>
            <w:tcW w:w="3505" w:type="dxa"/>
          </w:tcPr>
          <w:p w14:paraId="2726840B"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0BA47244" w14:textId="77777777" w:rsidR="001B6548" w:rsidRDefault="001B6548" w:rsidP="00F93D74">
            <w:pPr>
              <w:spacing w:after="40"/>
              <w:rPr>
                <w:rFonts w:cstheme="minorHAnsi"/>
                <w:sz w:val="24"/>
                <w:szCs w:val="24"/>
              </w:rPr>
            </w:pPr>
            <w:r>
              <w:rPr>
                <w:rFonts w:cstheme="minorHAnsi"/>
                <w:sz w:val="24"/>
                <w:szCs w:val="24"/>
              </w:rPr>
              <w:t>400</w:t>
            </w:r>
          </w:p>
        </w:tc>
      </w:tr>
      <w:tr w:rsidR="001B6548" w14:paraId="36C04FBC" w14:textId="77777777" w:rsidTr="00F93D74">
        <w:tc>
          <w:tcPr>
            <w:tcW w:w="3505" w:type="dxa"/>
          </w:tcPr>
          <w:p w14:paraId="725BCE31"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47021A86" w14:textId="1A282749" w:rsidR="001B6548" w:rsidRDefault="00C851AB" w:rsidP="00F93D74">
            <w:pPr>
              <w:spacing w:after="40"/>
              <w:rPr>
                <w:rFonts w:cstheme="minorHAnsi"/>
                <w:sz w:val="24"/>
                <w:szCs w:val="24"/>
              </w:rPr>
            </w:pPr>
            <w:r>
              <w:rPr>
                <w:rFonts w:cstheme="minorHAnsi"/>
                <w:sz w:val="24"/>
                <w:szCs w:val="24"/>
              </w:rPr>
              <w:t>Marion Correctional Instit</w:t>
            </w:r>
            <w:r w:rsidR="00F90B53">
              <w:rPr>
                <w:rFonts w:cstheme="minorHAnsi"/>
                <w:sz w:val="24"/>
                <w:szCs w:val="24"/>
              </w:rPr>
              <w:t xml:space="preserve">ute; Rutherford Correctional Center; </w:t>
            </w:r>
            <w:r w:rsidR="00F63602">
              <w:rPr>
                <w:rFonts w:cstheme="minorHAnsi"/>
                <w:sz w:val="24"/>
                <w:szCs w:val="24"/>
              </w:rPr>
              <w:t xml:space="preserve">Foothill </w:t>
            </w:r>
            <w:proofErr w:type="spellStart"/>
            <w:r w:rsidR="00F63602">
              <w:rPr>
                <w:rFonts w:cstheme="minorHAnsi"/>
                <w:sz w:val="24"/>
                <w:szCs w:val="24"/>
              </w:rPr>
              <w:t>Correctional</w:t>
            </w:r>
            <w:r w:rsidR="005F243F">
              <w:rPr>
                <w:rFonts w:cstheme="minorHAnsi"/>
                <w:sz w:val="24"/>
                <w:szCs w:val="24"/>
              </w:rPr>
              <w:t>Institue</w:t>
            </w:r>
            <w:proofErr w:type="spellEnd"/>
            <w:r w:rsidR="005F243F">
              <w:rPr>
                <w:rFonts w:cstheme="minorHAnsi"/>
                <w:sz w:val="24"/>
                <w:szCs w:val="24"/>
              </w:rPr>
              <w:t xml:space="preserve">; </w:t>
            </w:r>
            <w:r w:rsidR="00A94E5D">
              <w:rPr>
                <w:rFonts w:cstheme="minorHAnsi"/>
                <w:sz w:val="24"/>
                <w:szCs w:val="24"/>
              </w:rPr>
              <w:t xml:space="preserve">Caldwell Correctional Center; Alexander Correctional Center; </w:t>
            </w:r>
            <w:r w:rsidR="007909CA">
              <w:rPr>
                <w:rFonts w:cstheme="minorHAnsi"/>
                <w:sz w:val="24"/>
                <w:szCs w:val="24"/>
              </w:rPr>
              <w:t>Catawba Correctional Center; Gaston Correctional C</w:t>
            </w:r>
            <w:r w:rsidR="0052604B">
              <w:rPr>
                <w:rFonts w:cstheme="minorHAnsi"/>
                <w:sz w:val="24"/>
                <w:szCs w:val="24"/>
              </w:rPr>
              <w:t>enter; Mecklenburg Detention Center</w:t>
            </w:r>
          </w:p>
        </w:tc>
      </w:tr>
      <w:tr w:rsidR="001B6548" w14:paraId="1A2FD8C8" w14:textId="77777777" w:rsidTr="00F93D74">
        <w:tc>
          <w:tcPr>
            <w:tcW w:w="3505" w:type="dxa"/>
          </w:tcPr>
          <w:p w14:paraId="0ABFBCF6"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78C0DECA" w14:textId="3BFD14D8" w:rsidR="001B6548" w:rsidRDefault="005F0F51" w:rsidP="005F0F51">
            <w:pPr>
              <w:spacing w:after="40"/>
              <w:rPr>
                <w:rFonts w:cstheme="minorHAnsi"/>
                <w:sz w:val="24"/>
                <w:szCs w:val="24"/>
              </w:rPr>
            </w:pPr>
            <w:r w:rsidRPr="005F0F51">
              <w:rPr>
                <w:rFonts w:cstheme="minorHAnsi"/>
                <w:sz w:val="24"/>
                <w:szCs w:val="24"/>
              </w:rPr>
              <w:t xml:space="preserve">McDowell </w:t>
            </w:r>
            <w:r>
              <w:rPr>
                <w:rFonts w:cstheme="minorHAnsi"/>
                <w:sz w:val="24"/>
                <w:szCs w:val="24"/>
              </w:rPr>
              <w:t>County</w:t>
            </w:r>
            <w:r w:rsidRPr="005F0F51">
              <w:rPr>
                <w:rFonts w:cstheme="minorHAnsi"/>
                <w:sz w:val="24"/>
                <w:szCs w:val="24"/>
              </w:rPr>
              <w:t xml:space="preserve">; Rutherford </w:t>
            </w:r>
            <w:r>
              <w:rPr>
                <w:rFonts w:cstheme="minorHAnsi"/>
                <w:sz w:val="24"/>
                <w:szCs w:val="24"/>
              </w:rPr>
              <w:t>County</w:t>
            </w:r>
            <w:r w:rsidRPr="005F0F51">
              <w:rPr>
                <w:rFonts w:cstheme="minorHAnsi"/>
                <w:sz w:val="24"/>
                <w:szCs w:val="24"/>
              </w:rPr>
              <w:t xml:space="preserve">; Burke </w:t>
            </w:r>
            <w:r>
              <w:rPr>
                <w:rFonts w:cstheme="minorHAnsi"/>
                <w:sz w:val="24"/>
                <w:szCs w:val="24"/>
              </w:rPr>
              <w:t>County</w:t>
            </w:r>
            <w:r w:rsidRPr="005F0F51">
              <w:rPr>
                <w:rFonts w:cstheme="minorHAnsi"/>
                <w:sz w:val="24"/>
                <w:szCs w:val="24"/>
              </w:rPr>
              <w:t xml:space="preserve">; Caldwell </w:t>
            </w:r>
            <w:r w:rsidR="005D6E8D">
              <w:rPr>
                <w:rFonts w:cstheme="minorHAnsi"/>
                <w:sz w:val="24"/>
                <w:szCs w:val="24"/>
              </w:rPr>
              <w:t>County</w:t>
            </w:r>
            <w:r w:rsidRPr="005F0F51">
              <w:rPr>
                <w:rFonts w:cstheme="minorHAnsi"/>
                <w:sz w:val="24"/>
                <w:szCs w:val="24"/>
              </w:rPr>
              <w:t xml:space="preserve">; Alexander </w:t>
            </w:r>
            <w:r w:rsidR="005D6E8D">
              <w:rPr>
                <w:rFonts w:cstheme="minorHAnsi"/>
                <w:sz w:val="24"/>
                <w:szCs w:val="24"/>
              </w:rPr>
              <w:t>County</w:t>
            </w:r>
            <w:r w:rsidRPr="005F0F51">
              <w:rPr>
                <w:rFonts w:cstheme="minorHAnsi"/>
                <w:sz w:val="24"/>
                <w:szCs w:val="24"/>
              </w:rPr>
              <w:t xml:space="preserve">; Catawba </w:t>
            </w:r>
            <w:r w:rsidR="005D6E8D">
              <w:rPr>
                <w:rFonts w:cstheme="minorHAnsi"/>
                <w:sz w:val="24"/>
                <w:szCs w:val="24"/>
              </w:rPr>
              <w:t>County</w:t>
            </w:r>
            <w:r w:rsidRPr="005F0F51">
              <w:rPr>
                <w:rFonts w:cstheme="minorHAnsi"/>
                <w:sz w:val="24"/>
                <w:szCs w:val="24"/>
              </w:rPr>
              <w:t xml:space="preserve">; Gaston </w:t>
            </w:r>
            <w:r w:rsidR="005D6E8D">
              <w:rPr>
                <w:rFonts w:cstheme="minorHAnsi"/>
                <w:sz w:val="24"/>
                <w:szCs w:val="24"/>
              </w:rPr>
              <w:t>County</w:t>
            </w:r>
            <w:r w:rsidRPr="005F0F51">
              <w:rPr>
                <w:rFonts w:cstheme="minorHAnsi"/>
                <w:sz w:val="24"/>
                <w:szCs w:val="24"/>
              </w:rPr>
              <w:t xml:space="preserve">; Mecklenburg </w:t>
            </w:r>
            <w:r w:rsidR="005D6E8D">
              <w:rPr>
                <w:rFonts w:cstheme="minorHAnsi"/>
                <w:sz w:val="24"/>
                <w:szCs w:val="24"/>
              </w:rPr>
              <w:t>County</w:t>
            </w:r>
            <w:r w:rsidR="009B1165">
              <w:rPr>
                <w:rFonts w:cstheme="minorHAnsi"/>
                <w:sz w:val="24"/>
                <w:szCs w:val="24"/>
              </w:rPr>
              <w:t>, NC</w:t>
            </w:r>
          </w:p>
        </w:tc>
      </w:tr>
    </w:tbl>
    <w:p w14:paraId="0BD6B9A2" w14:textId="77777777" w:rsidR="002548D2" w:rsidRPr="002D60D8" w:rsidRDefault="002548D2" w:rsidP="002548D2">
      <w:pPr>
        <w:spacing w:after="40" w:line="240" w:lineRule="auto"/>
        <w:rPr>
          <w:rFonts w:cstheme="minorHAnsi"/>
          <w:sz w:val="24"/>
          <w:szCs w:val="24"/>
        </w:rPr>
      </w:pPr>
    </w:p>
    <w:p w14:paraId="479C218A" w14:textId="7EFF870C" w:rsidR="002548D2" w:rsidRPr="009B1165" w:rsidRDefault="002548D2" w:rsidP="00982404">
      <w:pPr>
        <w:spacing w:after="40" w:line="240" w:lineRule="auto"/>
        <w:rPr>
          <w:rFonts w:cstheme="minorHAnsi"/>
          <w:sz w:val="24"/>
          <w:szCs w:val="24"/>
        </w:rPr>
      </w:pPr>
      <w:r w:rsidRPr="009B1165">
        <w:rPr>
          <w:rFonts w:cstheme="minorHAnsi"/>
          <w:b/>
          <w:bCs/>
          <w:sz w:val="24"/>
          <w:szCs w:val="24"/>
        </w:rPr>
        <w:t>Project Summary</w:t>
      </w:r>
      <w:proofErr w:type="gramStart"/>
      <w:r w:rsidRPr="009B1165">
        <w:rPr>
          <w:rFonts w:cstheme="minorHAnsi"/>
          <w:b/>
          <w:bCs/>
          <w:sz w:val="24"/>
          <w:szCs w:val="24"/>
        </w:rPr>
        <w:t>:</w:t>
      </w:r>
      <w:r w:rsidRPr="009B1165">
        <w:rPr>
          <w:rFonts w:cstheme="minorHAnsi"/>
          <w:sz w:val="24"/>
          <w:szCs w:val="24"/>
        </w:rPr>
        <w:t xml:space="preserve">  </w:t>
      </w:r>
      <w:r w:rsidR="00366AAA" w:rsidRPr="002D60D8">
        <w:rPr>
          <w:rFonts w:cstheme="minorHAnsi"/>
          <w:sz w:val="24"/>
          <w:szCs w:val="24"/>
        </w:rPr>
        <w:t>The</w:t>
      </w:r>
      <w:proofErr w:type="gramEnd"/>
      <w:r w:rsidR="00366AAA" w:rsidRPr="002D60D8">
        <w:rPr>
          <w:rFonts w:cstheme="minorHAnsi"/>
          <w:sz w:val="24"/>
          <w:szCs w:val="24"/>
        </w:rPr>
        <w:t xml:space="preserve"> purpose of this project is </w:t>
      </w:r>
      <w:r w:rsidR="00CF29C8">
        <w:rPr>
          <w:rFonts w:cstheme="minorHAnsi"/>
          <w:sz w:val="24"/>
          <w:szCs w:val="24"/>
        </w:rPr>
        <w:t xml:space="preserve">to </w:t>
      </w:r>
      <w:r w:rsidR="00982404" w:rsidRPr="009B1165">
        <w:rPr>
          <w:rFonts w:cstheme="minorHAnsi"/>
          <w:sz w:val="24"/>
          <w:szCs w:val="24"/>
        </w:rPr>
        <w:t>provide eligible incarcerated individuals in men’s and women’s state correctional facilities or local or county jails with workforce services prior to release and to continue services after release by transitioning the participants into reentry programs in the communities to which they will return.</w:t>
      </w:r>
      <w:r w:rsidR="00982404" w:rsidRPr="009B1165">
        <w:rPr>
          <w:rFonts w:cstheme="minorHAnsi"/>
          <w:sz w:val="24"/>
          <w:szCs w:val="24"/>
        </w:rPr>
        <w:cr/>
      </w:r>
    </w:p>
    <w:p w14:paraId="549622EE" w14:textId="301363F1" w:rsidR="002548D2" w:rsidRPr="002B1F87" w:rsidRDefault="000C75E4" w:rsidP="000C75E4">
      <w:pPr>
        <w:spacing w:after="40" w:line="240" w:lineRule="auto"/>
        <w:rPr>
          <w:rFonts w:cstheme="minorHAnsi"/>
          <w:sz w:val="24"/>
          <w:szCs w:val="24"/>
        </w:rPr>
      </w:pPr>
      <w:r w:rsidRPr="002B1F87">
        <w:rPr>
          <w:rFonts w:cstheme="minorHAnsi"/>
          <w:sz w:val="24"/>
          <w:szCs w:val="24"/>
        </w:rPr>
        <w:t xml:space="preserve">This project will serve 400 individuals through three WDBs as subrecipients with pre-release, post-release, and follow-up activities. Pre-release activities will be delivered through workshops, small group instruction and one-on-one instruction, counseling, advisement in employment and training activities to include occupational training when available. The first </w:t>
      </w:r>
      <w:proofErr w:type="gramStart"/>
      <w:r w:rsidRPr="002B1F87">
        <w:rPr>
          <w:rFonts w:cstheme="minorHAnsi"/>
          <w:sz w:val="24"/>
          <w:szCs w:val="24"/>
        </w:rPr>
        <w:t>72 hours</w:t>
      </w:r>
      <w:proofErr w:type="gramEnd"/>
      <w:r w:rsidRPr="002B1F87">
        <w:rPr>
          <w:rFonts w:cstheme="minorHAnsi"/>
          <w:sz w:val="24"/>
          <w:szCs w:val="24"/>
        </w:rPr>
        <w:t xml:space="preserve"> post-release will be critical and the WDBs and partners will provide immediate services such as food, transportation, housing, and clothing, as well as cash, personal identification, a cell phone, and reentry acclimation sessions. Post-release activities will continue to use the IDP to identify strengths, weaknesses, set goals, develop action plans, identify education and</w:t>
      </w:r>
      <w:r w:rsidR="00E756B2">
        <w:rPr>
          <w:rFonts w:cstheme="minorHAnsi"/>
          <w:sz w:val="24"/>
          <w:szCs w:val="24"/>
        </w:rPr>
        <w:t xml:space="preserve"> </w:t>
      </w:r>
      <w:r w:rsidRPr="002B1F87">
        <w:rPr>
          <w:rFonts w:cstheme="minorHAnsi"/>
          <w:sz w:val="24"/>
          <w:szCs w:val="24"/>
        </w:rPr>
        <w:t xml:space="preserve">training needed, and learn new skills to work toward readiness for specific jobs. NC Works will function as a conduit between participants and potential apprenticeship programs through the NCCCS Apprenticeship NC Office and will provide information about available openings for registered apprenticeships, assist individuals in applying, link them directly with relevant training and career development resources, and provide them with access to </w:t>
      </w:r>
      <w:proofErr w:type="gramStart"/>
      <w:r w:rsidRPr="002B1F87">
        <w:rPr>
          <w:rFonts w:cstheme="minorHAnsi"/>
          <w:sz w:val="24"/>
          <w:szCs w:val="24"/>
        </w:rPr>
        <w:t>be paired</w:t>
      </w:r>
      <w:proofErr w:type="gramEnd"/>
      <w:r w:rsidRPr="002B1F87">
        <w:rPr>
          <w:rFonts w:cstheme="minorHAnsi"/>
          <w:sz w:val="24"/>
          <w:szCs w:val="24"/>
        </w:rPr>
        <w:t xml:space="preserve"> with </w:t>
      </w:r>
      <w:r w:rsidR="004174EB" w:rsidRPr="002B1F87">
        <w:rPr>
          <w:rFonts w:cstheme="minorHAnsi"/>
          <w:sz w:val="24"/>
          <w:szCs w:val="24"/>
        </w:rPr>
        <w:t>on-the-job</w:t>
      </w:r>
      <w:r w:rsidRPr="002B1F87">
        <w:rPr>
          <w:rFonts w:cstheme="minorHAnsi"/>
          <w:sz w:val="24"/>
          <w:szCs w:val="24"/>
        </w:rPr>
        <w:t xml:space="preserve"> training with employers through scholarships. The support services will continue to follow the participant through the entire 24-month training period. Follow-up services will include monthly meetings with participants to determine continued needed supportive services and/or additional training/employment needs.</w:t>
      </w:r>
    </w:p>
    <w:p w14:paraId="466228A3" w14:textId="77777777" w:rsidR="000C75E4" w:rsidRPr="00EE54D2" w:rsidRDefault="000C75E4" w:rsidP="000C75E4">
      <w:pPr>
        <w:spacing w:after="40" w:line="240" w:lineRule="auto"/>
        <w:rPr>
          <w:rFonts w:cstheme="minorHAnsi"/>
        </w:rPr>
      </w:pPr>
    </w:p>
    <w:p w14:paraId="0833C035" w14:textId="16C586E6" w:rsidR="002548D2" w:rsidRPr="00A22C41" w:rsidRDefault="002548D2" w:rsidP="00A22C41">
      <w:pPr>
        <w:spacing w:after="40" w:line="240" w:lineRule="auto"/>
        <w:rPr>
          <w:rFonts w:cstheme="minorHAnsi"/>
          <w:color w:val="000000" w:themeColor="text1"/>
          <w:sz w:val="24"/>
          <w:szCs w:val="24"/>
        </w:rPr>
      </w:pPr>
      <w:r w:rsidRPr="00EE54D2">
        <w:rPr>
          <w:rFonts w:cstheme="minorHAnsi"/>
          <w:color w:val="000000" w:themeColor="text1"/>
          <w:sz w:val="24"/>
          <w:szCs w:val="24"/>
        </w:rPr>
        <w:t xml:space="preserve">The </w:t>
      </w:r>
      <w:r w:rsidRPr="00EE54D2">
        <w:rPr>
          <w:rFonts w:cstheme="minorHAnsi"/>
          <w:b/>
          <w:bCs/>
          <w:color w:val="000000" w:themeColor="text1"/>
          <w:sz w:val="24"/>
          <w:szCs w:val="24"/>
        </w:rPr>
        <w:t>proposed outcomes</w:t>
      </w:r>
      <w:r w:rsidRPr="00EE54D2">
        <w:rPr>
          <w:rFonts w:cstheme="minorHAnsi"/>
          <w:color w:val="000000" w:themeColor="text1"/>
          <w:sz w:val="24"/>
          <w:szCs w:val="24"/>
        </w:rPr>
        <w:t xml:space="preserve"> are: </w:t>
      </w:r>
      <w:r w:rsidRPr="00EE54D2">
        <w:rPr>
          <w:rFonts w:cstheme="minorHAnsi"/>
          <w:sz w:val="24"/>
          <w:szCs w:val="24"/>
        </w:rPr>
        <w:t xml:space="preserve">55% employment rate 2nd quarter after exit; 45% employment rate 4th quarter after exit; </w:t>
      </w:r>
      <w:r w:rsidR="0027600E">
        <w:rPr>
          <w:rFonts w:cstheme="minorHAnsi"/>
          <w:sz w:val="24"/>
          <w:szCs w:val="24"/>
        </w:rPr>
        <w:t xml:space="preserve">$5,000 </w:t>
      </w:r>
      <w:r w:rsidRPr="00EE54D2">
        <w:rPr>
          <w:rFonts w:cstheme="minorHAnsi"/>
          <w:sz w:val="24"/>
          <w:szCs w:val="24"/>
        </w:rPr>
        <w:t>median earnings 2nd quarter after exit; 60% credential attainment; 65% measurable skill gains; and less than 4</w:t>
      </w:r>
      <w:r w:rsidR="00EE54D2" w:rsidRPr="00EE54D2">
        <w:rPr>
          <w:rFonts w:cstheme="minorHAnsi"/>
          <w:sz w:val="24"/>
          <w:szCs w:val="24"/>
        </w:rPr>
        <w:t>0</w:t>
      </w:r>
      <w:r w:rsidRPr="00EE54D2">
        <w:rPr>
          <w:rFonts w:cstheme="minorHAnsi"/>
          <w:sz w:val="24"/>
          <w:szCs w:val="24"/>
        </w:rPr>
        <w:t>% recidivism.</w:t>
      </w:r>
    </w:p>
    <w:p w14:paraId="3C45186E" w14:textId="0EEB63D2" w:rsidR="001774A7" w:rsidRPr="0013508A" w:rsidRDefault="0013508A" w:rsidP="0013508A">
      <w:pPr>
        <w:pStyle w:val="Heading1"/>
        <w:rPr>
          <w:b/>
          <w:bCs/>
          <w:color w:val="538135" w:themeColor="accent6" w:themeShade="BF"/>
          <w:sz w:val="28"/>
          <w:szCs w:val="28"/>
        </w:rPr>
      </w:pPr>
      <w:bookmarkStart w:id="12" w:name="_Toc219121429"/>
      <w:r>
        <w:rPr>
          <w:b/>
          <w:bCs/>
          <w:color w:val="538135" w:themeColor="accent6" w:themeShade="BF"/>
          <w:sz w:val="28"/>
          <w:szCs w:val="28"/>
        </w:rPr>
        <w:lastRenderedPageBreak/>
        <w:t>Peckham Vocational Industries, Inc.</w:t>
      </w:r>
      <w:bookmarkEnd w:id="12"/>
    </w:p>
    <w:p w14:paraId="41C70DF3" w14:textId="56D19ED0" w:rsidR="001774A7" w:rsidRPr="002D60D8" w:rsidRDefault="0013508A" w:rsidP="001774A7">
      <w:pPr>
        <w:spacing w:after="40" w:line="240" w:lineRule="auto"/>
        <w:rPr>
          <w:rFonts w:cstheme="minorHAnsi"/>
          <w:sz w:val="24"/>
          <w:szCs w:val="24"/>
        </w:rPr>
      </w:pPr>
      <w:r w:rsidRPr="002D60D8">
        <w:rPr>
          <w:rFonts w:cstheme="minorHAnsi"/>
          <w:color w:val="2F5496" w:themeColor="accent1" w:themeShade="BF"/>
          <w:sz w:val="24"/>
          <w:szCs w:val="24"/>
        </w:rPr>
        <w:t>Lansing, MI</w:t>
      </w:r>
    </w:p>
    <w:p w14:paraId="0C6F02E4" w14:textId="77777777" w:rsidR="001774A7" w:rsidRDefault="001774A7" w:rsidP="001774A7">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70E68926" w14:textId="77777777" w:rsidTr="00F93D74">
        <w:tc>
          <w:tcPr>
            <w:tcW w:w="3505" w:type="dxa"/>
          </w:tcPr>
          <w:p w14:paraId="6FAB96AA"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24BFE5FB" w14:textId="7FB04B8E" w:rsidR="001B6548" w:rsidRDefault="001B6548" w:rsidP="00F93D74">
            <w:pPr>
              <w:spacing w:after="40"/>
              <w:rPr>
                <w:rFonts w:cstheme="minorHAnsi"/>
                <w:sz w:val="24"/>
                <w:szCs w:val="24"/>
              </w:rPr>
            </w:pPr>
            <w:r w:rsidRPr="002D60D8">
              <w:rPr>
                <w:rFonts w:cstheme="minorHAnsi"/>
                <w:sz w:val="24"/>
                <w:szCs w:val="24"/>
              </w:rPr>
              <w:t>$</w:t>
            </w:r>
            <w:r>
              <w:rPr>
                <w:rFonts w:cstheme="minorHAnsi"/>
                <w:sz w:val="24"/>
                <w:szCs w:val="24"/>
              </w:rPr>
              <w:t>1</w:t>
            </w:r>
            <w:r w:rsidRPr="002D60D8">
              <w:rPr>
                <w:rFonts w:cstheme="minorHAnsi"/>
                <w:sz w:val="24"/>
                <w:szCs w:val="24"/>
              </w:rPr>
              <w:t>,</w:t>
            </w:r>
            <w:r>
              <w:rPr>
                <w:rFonts w:cstheme="minorHAnsi"/>
                <w:sz w:val="24"/>
                <w:szCs w:val="24"/>
              </w:rPr>
              <w:t>499,999</w:t>
            </w:r>
          </w:p>
        </w:tc>
      </w:tr>
      <w:tr w:rsidR="001B6548" w14:paraId="3419DFEC" w14:textId="77777777" w:rsidTr="00F93D74">
        <w:tc>
          <w:tcPr>
            <w:tcW w:w="3505" w:type="dxa"/>
          </w:tcPr>
          <w:p w14:paraId="57287522"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46227CC8" w14:textId="6B8C3D0A" w:rsidR="001B6548" w:rsidRDefault="001B6548" w:rsidP="00F93D74">
            <w:pPr>
              <w:spacing w:after="40"/>
              <w:rPr>
                <w:rFonts w:cstheme="minorHAnsi"/>
                <w:sz w:val="24"/>
                <w:szCs w:val="24"/>
              </w:rPr>
            </w:pPr>
            <w:r>
              <w:rPr>
                <w:rFonts w:cstheme="minorHAnsi"/>
                <w:sz w:val="24"/>
                <w:szCs w:val="24"/>
              </w:rPr>
              <w:t>Direct</w:t>
            </w:r>
          </w:p>
        </w:tc>
      </w:tr>
      <w:tr w:rsidR="001B6548" w14:paraId="25D8BFEF" w14:textId="77777777" w:rsidTr="00F93D74">
        <w:tc>
          <w:tcPr>
            <w:tcW w:w="3505" w:type="dxa"/>
          </w:tcPr>
          <w:p w14:paraId="5FB01D5A"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0262DD84" w14:textId="34F615F3" w:rsidR="001B6548" w:rsidRDefault="001B6548" w:rsidP="00F93D74">
            <w:pPr>
              <w:spacing w:after="40"/>
              <w:rPr>
                <w:rFonts w:cstheme="minorHAnsi"/>
                <w:sz w:val="24"/>
                <w:szCs w:val="24"/>
              </w:rPr>
            </w:pPr>
            <w:r>
              <w:rPr>
                <w:rFonts w:cstheme="minorHAnsi"/>
                <w:sz w:val="24"/>
                <w:szCs w:val="24"/>
              </w:rPr>
              <w:t>150</w:t>
            </w:r>
          </w:p>
        </w:tc>
      </w:tr>
      <w:tr w:rsidR="001B6548" w14:paraId="3918ADE1" w14:textId="77777777" w:rsidTr="00F93D74">
        <w:tc>
          <w:tcPr>
            <w:tcW w:w="3505" w:type="dxa"/>
          </w:tcPr>
          <w:p w14:paraId="07480966"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719D42CD" w14:textId="04BECF68" w:rsidR="001B6548" w:rsidRDefault="00A245F4" w:rsidP="00F93D74">
            <w:pPr>
              <w:spacing w:after="40"/>
              <w:rPr>
                <w:rFonts w:cstheme="minorHAnsi"/>
                <w:sz w:val="24"/>
                <w:szCs w:val="24"/>
              </w:rPr>
            </w:pPr>
            <w:r>
              <w:rPr>
                <w:rFonts w:cstheme="minorHAnsi"/>
                <w:sz w:val="24"/>
                <w:szCs w:val="24"/>
              </w:rPr>
              <w:t>In</w:t>
            </w:r>
            <w:r w:rsidR="0097590A">
              <w:rPr>
                <w:rFonts w:cstheme="minorHAnsi"/>
                <w:sz w:val="24"/>
                <w:szCs w:val="24"/>
              </w:rPr>
              <w:t xml:space="preserve">gham County Correctional Facility </w:t>
            </w:r>
          </w:p>
        </w:tc>
      </w:tr>
      <w:tr w:rsidR="001B6548" w14:paraId="3B093DE5" w14:textId="77777777" w:rsidTr="00F93D74">
        <w:tc>
          <w:tcPr>
            <w:tcW w:w="3505" w:type="dxa"/>
          </w:tcPr>
          <w:p w14:paraId="02D370E0"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049DF694" w14:textId="2CCDD7D9" w:rsidR="001B6548" w:rsidRDefault="00C82BD9" w:rsidP="00F93D74">
            <w:pPr>
              <w:spacing w:after="40"/>
              <w:rPr>
                <w:rFonts w:cstheme="minorHAnsi"/>
                <w:sz w:val="24"/>
                <w:szCs w:val="24"/>
              </w:rPr>
            </w:pPr>
            <w:r>
              <w:rPr>
                <w:rFonts w:cstheme="minorHAnsi"/>
                <w:sz w:val="24"/>
                <w:szCs w:val="24"/>
              </w:rPr>
              <w:t>Ingham County, MI</w:t>
            </w:r>
          </w:p>
        </w:tc>
      </w:tr>
    </w:tbl>
    <w:p w14:paraId="6B8DE31B" w14:textId="77777777" w:rsidR="0013508A" w:rsidRPr="002D60D8" w:rsidRDefault="0013508A" w:rsidP="0013508A">
      <w:pPr>
        <w:spacing w:after="40" w:line="240" w:lineRule="auto"/>
        <w:rPr>
          <w:rFonts w:cstheme="minorHAnsi"/>
          <w:sz w:val="24"/>
          <w:szCs w:val="24"/>
        </w:rPr>
      </w:pPr>
    </w:p>
    <w:p w14:paraId="6F5B892F" w14:textId="6FA6982B" w:rsidR="00293F84" w:rsidRPr="00293F84" w:rsidRDefault="0013508A" w:rsidP="00561741">
      <w:pPr>
        <w:spacing w:after="40" w:line="240" w:lineRule="auto"/>
        <w:rPr>
          <w:rFonts w:cstheme="minorHAnsi"/>
          <w:sz w:val="24"/>
          <w:szCs w:val="24"/>
        </w:rPr>
      </w:pPr>
      <w:r w:rsidRPr="002D60D8">
        <w:rPr>
          <w:rFonts w:cstheme="minorHAnsi"/>
          <w:b/>
          <w:bCs/>
          <w:sz w:val="24"/>
          <w:szCs w:val="24"/>
        </w:rPr>
        <w:t>Project Summary</w:t>
      </w:r>
      <w:proofErr w:type="gramStart"/>
      <w:r w:rsidRPr="002D60D8">
        <w:rPr>
          <w:rFonts w:cstheme="minorHAnsi"/>
          <w:b/>
          <w:bCs/>
          <w:sz w:val="24"/>
          <w:szCs w:val="24"/>
        </w:rPr>
        <w:t>:</w:t>
      </w:r>
      <w:r w:rsidRPr="002D60D8">
        <w:rPr>
          <w:rFonts w:cstheme="minorHAnsi"/>
        </w:rPr>
        <w:t xml:space="preserve">  </w:t>
      </w:r>
      <w:r w:rsidR="00CF29C8" w:rsidRPr="002D60D8">
        <w:rPr>
          <w:rFonts w:cstheme="minorHAnsi"/>
          <w:sz w:val="24"/>
          <w:szCs w:val="24"/>
        </w:rPr>
        <w:t>The</w:t>
      </w:r>
      <w:proofErr w:type="gramEnd"/>
      <w:r w:rsidR="00CF29C8" w:rsidRPr="002D60D8">
        <w:rPr>
          <w:rFonts w:cstheme="minorHAnsi"/>
          <w:sz w:val="24"/>
          <w:szCs w:val="24"/>
        </w:rPr>
        <w:t xml:space="preserve"> purpose of this project is </w:t>
      </w:r>
      <w:r w:rsidR="00CF29C8">
        <w:rPr>
          <w:rFonts w:cstheme="minorHAnsi"/>
          <w:sz w:val="24"/>
          <w:szCs w:val="24"/>
        </w:rPr>
        <w:t xml:space="preserve">to </w:t>
      </w:r>
      <w:r w:rsidR="00293F84" w:rsidRPr="00293F84">
        <w:rPr>
          <w:rFonts w:cstheme="minorHAnsi"/>
          <w:sz w:val="24"/>
          <w:szCs w:val="24"/>
        </w:rPr>
        <w:t>serve 150 participants over 42 months, offering a structured three-phase model: </w:t>
      </w:r>
      <w:r w:rsidR="00B47708">
        <w:rPr>
          <w:rFonts w:cstheme="minorHAnsi"/>
          <w:sz w:val="24"/>
          <w:szCs w:val="24"/>
        </w:rPr>
        <w:t>preparation, employment/stability, and retention and review</w:t>
      </w:r>
      <w:r w:rsidR="00DB4D32">
        <w:rPr>
          <w:rFonts w:cstheme="minorHAnsi"/>
          <w:sz w:val="24"/>
          <w:szCs w:val="24"/>
        </w:rPr>
        <w:t xml:space="preserve">. </w:t>
      </w:r>
      <w:r w:rsidR="00293F84" w:rsidRPr="00293F84">
        <w:rPr>
          <w:rFonts w:cstheme="minorHAnsi"/>
          <w:sz w:val="24"/>
          <w:szCs w:val="24"/>
        </w:rPr>
        <w:t xml:space="preserve">Participants </w:t>
      </w:r>
      <w:r w:rsidR="00DB4D32">
        <w:rPr>
          <w:rFonts w:cstheme="minorHAnsi"/>
          <w:sz w:val="24"/>
          <w:szCs w:val="24"/>
        </w:rPr>
        <w:t xml:space="preserve">will </w:t>
      </w:r>
      <w:r w:rsidR="00293F84" w:rsidRPr="00293F84">
        <w:rPr>
          <w:rFonts w:cstheme="minorHAnsi"/>
          <w:sz w:val="24"/>
          <w:szCs w:val="24"/>
        </w:rPr>
        <w:t xml:space="preserve">engage in career exploration, creating </w:t>
      </w:r>
      <w:proofErr w:type="gramStart"/>
      <w:r w:rsidR="00293F84" w:rsidRPr="00293F84">
        <w:rPr>
          <w:rFonts w:cstheme="minorHAnsi"/>
          <w:sz w:val="24"/>
          <w:szCs w:val="24"/>
        </w:rPr>
        <w:t>a professional</w:t>
      </w:r>
      <w:proofErr w:type="gramEnd"/>
      <w:r w:rsidR="00293F84" w:rsidRPr="00293F84">
        <w:rPr>
          <w:rFonts w:cstheme="minorHAnsi"/>
          <w:sz w:val="24"/>
          <w:szCs w:val="24"/>
        </w:rPr>
        <w:t xml:space="preserve"> portfolio, credential enrollment, and CBI skills training. Within 72 hours of release, participants connect with their case manager to</w:t>
      </w:r>
      <w:r w:rsidR="00B22AA2">
        <w:rPr>
          <w:rFonts w:cstheme="minorHAnsi"/>
          <w:sz w:val="24"/>
          <w:szCs w:val="24"/>
        </w:rPr>
        <w:t xml:space="preserve"> </w:t>
      </w:r>
      <w:r w:rsidR="00293F84" w:rsidRPr="00293F84">
        <w:rPr>
          <w:rFonts w:cstheme="minorHAnsi"/>
          <w:sz w:val="24"/>
          <w:szCs w:val="24"/>
        </w:rPr>
        <w:t>begin work on their IDP, secure employment, access needed resources and continue industry and CBI skills training. Participants receive ongoing case management, financial literacy training, and cognitive behavioral interventions to support long-term employment and reduce recidivism. </w:t>
      </w:r>
    </w:p>
    <w:p w14:paraId="0558BA9F" w14:textId="77777777" w:rsidR="0013508A" w:rsidRPr="002D60D8" w:rsidRDefault="0013508A" w:rsidP="0013508A">
      <w:pPr>
        <w:spacing w:after="40" w:line="240" w:lineRule="auto"/>
        <w:rPr>
          <w:rFonts w:cstheme="minorHAnsi"/>
        </w:rPr>
      </w:pPr>
    </w:p>
    <w:p w14:paraId="5BDCFC4A" w14:textId="2A47B68D" w:rsidR="0013508A" w:rsidRDefault="00D0571B" w:rsidP="0013508A">
      <w:pPr>
        <w:spacing w:after="40" w:line="240" w:lineRule="auto"/>
        <w:rPr>
          <w:rFonts w:cstheme="minorHAnsi"/>
          <w:sz w:val="24"/>
          <w:szCs w:val="24"/>
        </w:rPr>
      </w:pPr>
      <w:r w:rsidRPr="00D0571B">
        <w:rPr>
          <w:rFonts w:cstheme="minorHAnsi"/>
          <w:sz w:val="24"/>
          <w:szCs w:val="24"/>
        </w:rPr>
        <w:t>ROOTS-PH represents a strategic approach to reducing recidivism and fostering economic mobility for justice-involved individuals in Ingham County. By addressing employment barriers and providing structured support, this initiative will enhance community stability, lower incarceration rates, and create pathways to self-sufficiency for returning citizens.</w:t>
      </w:r>
    </w:p>
    <w:p w14:paraId="203A3ABB" w14:textId="77777777" w:rsidR="00D0571B" w:rsidRPr="002D60D8" w:rsidRDefault="00D0571B" w:rsidP="0013508A">
      <w:pPr>
        <w:spacing w:after="40" w:line="240" w:lineRule="auto"/>
        <w:rPr>
          <w:rFonts w:cstheme="minorHAnsi"/>
        </w:rPr>
      </w:pPr>
    </w:p>
    <w:p w14:paraId="47C78F87" w14:textId="01BAA2F0" w:rsidR="0013508A" w:rsidRPr="002D60D8" w:rsidRDefault="0013508A" w:rsidP="0013508A">
      <w:pPr>
        <w:spacing w:after="40" w:line="240" w:lineRule="auto"/>
        <w:rPr>
          <w:rFonts w:cstheme="minorHAnsi"/>
          <w:color w:val="000000" w:themeColor="text1"/>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are: </w:t>
      </w:r>
      <w:r w:rsidR="00F91D62">
        <w:rPr>
          <w:rFonts w:cstheme="minorHAnsi"/>
          <w:sz w:val="24"/>
          <w:szCs w:val="24"/>
        </w:rPr>
        <w:t>60</w:t>
      </w:r>
      <w:r w:rsidRPr="00F91D62">
        <w:rPr>
          <w:rFonts w:cstheme="minorHAnsi"/>
          <w:sz w:val="24"/>
          <w:szCs w:val="24"/>
        </w:rPr>
        <w:t>% employment rate 2nd quarter after exit; 5</w:t>
      </w:r>
      <w:r w:rsidR="00F91D62">
        <w:rPr>
          <w:rFonts w:cstheme="minorHAnsi"/>
          <w:sz w:val="24"/>
          <w:szCs w:val="24"/>
        </w:rPr>
        <w:t>0</w:t>
      </w:r>
      <w:r w:rsidRPr="00F91D62">
        <w:rPr>
          <w:rFonts w:cstheme="minorHAnsi"/>
          <w:sz w:val="24"/>
          <w:szCs w:val="24"/>
        </w:rPr>
        <w:t xml:space="preserve">% employment rate 4th quarter after exit; </w:t>
      </w:r>
      <w:r w:rsidR="0027600E">
        <w:rPr>
          <w:rFonts w:cstheme="minorHAnsi"/>
          <w:sz w:val="24"/>
          <w:szCs w:val="24"/>
        </w:rPr>
        <w:t xml:space="preserve">$6,000 </w:t>
      </w:r>
      <w:r w:rsidRPr="00F91D62">
        <w:rPr>
          <w:rFonts w:cstheme="minorHAnsi"/>
          <w:sz w:val="24"/>
          <w:szCs w:val="24"/>
        </w:rPr>
        <w:t xml:space="preserve">median earnings 2nd quarter after exit; </w:t>
      </w:r>
      <w:r w:rsidR="001F392B">
        <w:rPr>
          <w:rFonts w:cstheme="minorHAnsi"/>
          <w:sz w:val="24"/>
          <w:szCs w:val="24"/>
        </w:rPr>
        <w:t>7</w:t>
      </w:r>
      <w:r w:rsidRPr="00F91D62">
        <w:rPr>
          <w:rFonts w:cstheme="minorHAnsi"/>
          <w:sz w:val="24"/>
          <w:szCs w:val="24"/>
        </w:rPr>
        <w:t xml:space="preserve">0% credential attainment; </w:t>
      </w:r>
      <w:r w:rsidR="001F392B">
        <w:rPr>
          <w:rFonts w:cstheme="minorHAnsi"/>
          <w:sz w:val="24"/>
          <w:szCs w:val="24"/>
        </w:rPr>
        <w:t>70</w:t>
      </w:r>
      <w:r w:rsidRPr="00F91D62">
        <w:rPr>
          <w:rFonts w:cstheme="minorHAnsi"/>
          <w:sz w:val="24"/>
          <w:szCs w:val="24"/>
        </w:rPr>
        <w:t xml:space="preserve">% measurable skill gains; </w:t>
      </w:r>
      <w:r w:rsidR="008155FA">
        <w:rPr>
          <w:rFonts w:cstheme="minorHAnsi"/>
          <w:sz w:val="24"/>
          <w:szCs w:val="24"/>
        </w:rPr>
        <w:t xml:space="preserve">85% effectiveness in serving employers, as measured on a 5-point scale; </w:t>
      </w:r>
      <w:r w:rsidRPr="00F91D62">
        <w:rPr>
          <w:rFonts w:cstheme="minorHAnsi"/>
          <w:sz w:val="24"/>
          <w:szCs w:val="24"/>
        </w:rPr>
        <w:t xml:space="preserve">and less than </w:t>
      </w:r>
      <w:r w:rsidR="008155FA">
        <w:rPr>
          <w:rFonts w:cstheme="minorHAnsi"/>
          <w:sz w:val="24"/>
          <w:szCs w:val="24"/>
        </w:rPr>
        <w:t>22.7</w:t>
      </w:r>
      <w:r w:rsidRPr="00F91D62">
        <w:rPr>
          <w:rFonts w:cstheme="minorHAnsi"/>
          <w:sz w:val="24"/>
          <w:szCs w:val="24"/>
        </w:rPr>
        <w:t>% recidivism.</w:t>
      </w:r>
    </w:p>
    <w:p w14:paraId="66784762" w14:textId="48EF54D9" w:rsidR="001774A7" w:rsidRPr="002D60D8" w:rsidRDefault="001774A7" w:rsidP="001774A7">
      <w:pPr>
        <w:spacing w:after="40" w:line="240" w:lineRule="auto"/>
        <w:rPr>
          <w:rFonts w:cstheme="minorHAnsi"/>
          <w:sz w:val="24"/>
          <w:szCs w:val="24"/>
        </w:rPr>
      </w:pPr>
    </w:p>
    <w:p w14:paraId="2F57757C" w14:textId="77777777" w:rsidR="001774A7" w:rsidRPr="002D60D8" w:rsidRDefault="001774A7" w:rsidP="001774A7">
      <w:pPr>
        <w:spacing w:after="40" w:line="240" w:lineRule="auto"/>
        <w:rPr>
          <w:rFonts w:cstheme="minorHAnsi"/>
          <w:sz w:val="24"/>
          <w:szCs w:val="24"/>
        </w:rPr>
      </w:pPr>
    </w:p>
    <w:p w14:paraId="2758B061" w14:textId="77777777" w:rsidR="001774A7" w:rsidRPr="002D60D8" w:rsidRDefault="001774A7">
      <w:pPr>
        <w:rPr>
          <w:rFonts w:cstheme="minorHAnsi"/>
        </w:rPr>
      </w:pPr>
    </w:p>
    <w:p w14:paraId="334CB7AE" w14:textId="77777777" w:rsidR="001774A7" w:rsidRPr="002D60D8" w:rsidRDefault="001774A7">
      <w:pPr>
        <w:rPr>
          <w:rFonts w:cstheme="minorHAnsi"/>
        </w:rPr>
      </w:pPr>
    </w:p>
    <w:p w14:paraId="316A1B66" w14:textId="77777777" w:rsidR="001774A7" w:rsidRPr="002D60D8" w:rsidRDefault="001774A7">
      <w:pPr>
        <w:rPr>
          <w:rFonts w:cstheme="minorHAnsi"/>
        </w:rPr>
      </w:pPr>
      <w:r w:rsidRPr="002D60D8">
        <w:rPr>
          <w:rFonts w:cstheme="minorHAnsi"/>
        </w:rPr>
        <w:br w:type="page"/>
      </w:r>
    </w:p>
    <w:p w14:paraId="3A732450" w14:textId="7792C1C5" w:rsidR="001774A7" w:rsidRPr="00F87EEA" w:rsidRDefault="00F87EEA" w:rsidP="00F87EEA">
      <w:pPr>
        <w:pStyle w:val="Heading1"/>
        <w:rPr>
          <w:b/>
          <w:bCs/>
          <w:color w:val="538135" w:themeColor="accent6" w:themeShade="BF"/>
          <w:sz w:val="28"/>
          <w:szCs w:val="28"/>
        </w:rPr>
      </w:pPr>
      <w:bookmarkStart w:id="13" w:name="_Toc219121430"/>
      <w:r>
        <w:rPr>
          <w:b/>
          <w:bCs/>
          <w:color w:val="538135" w:themeColor="accent6" w:themeShade="BF"/>
          <w:sz w:val="28"/>
          <w:szCs w:val="28"/>
        </w:rPr>
        <w:lastRenderedPageBreak/>
        <w:t>Siouxland Human Investment Partnership</w:t>
      </w:r>
      <w:bookmarkEnd w:id="13"/>
    </w:p>
    <w:p w14:paraId="6E44E6A1" w14:textId="2E23F76C" w:rsidR="001774A7" w:rsidRPr="002D60D8" w:rsidRDefault="00F87EEA" w:rsidP="001774A7">
      <w:pPr>
        <w:spacing w:after="40" w:line="240" w:lineRule="auto"/>
        <w:rPr>
          <w:rFonts w:cstheme="minorHAnsi"/>
          <w:sz w:val="24"/>
          <w:szCs w:val="24"/>
        </w:rPr>
      </w:pPr>
      <w:r w:rsidRPr="002D60D8">
        <w:rPr>
          <w:rFonts w:cstheme="minorHAnsi"/>
          <w:color w:val="2F5496" w:themeColor="accent1" w:themeShade="BF"/>
          <w:sz w:val="24"/>
          <w:szCs w:val="24"/>
        </w:rPr>
        <w:t>Sioux City, IA</w:t>
      </w:r>
    </w:p>
    <w:p w14:paraId="645098F6" w14:textId="77777777" w:rsidR="001774A7" w:rsidRDefault="001774A7" w:rsidP="001774A7">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39D78262" w14:textId="77777777" w:rsidTr="00F93D74">
        <w:tc>
          <w:tcPr>
            <w:tcW w:w="3505" w:type="dxa"/>
          </w:tcPr>
          <w:p w14:paraId="46985AED"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5DE51EB2" w14:textId="0BB187E2" w:rsidR="001B6548" w:rsidRDefault="001B6548" w:rsidP="00F93D74">
            <w:pPr>
              <w:spacing w:after="40"/>
              <w:rPr>
                <w:rFonts w:cstheme="minorHAnsi"/>
                <w:sz w:val="24"/>
                <w:szCs w:val="24"/>
              </w:rPr>
            </w:pPr>
            <w:r w:rsidRPr="002D60D8">
              <w:rPr>
                <w:rFonts w:cstheme="minorHAnsi"/>
                <w:sz w:val="24"/>
                <w:szCs w:val="24"/>
              </w:rPr>
              <w:t>$</w:t>
            </w:r>
            <w:r>
              <w:rPr>
                <w:rFonts w:cstheme="minorHAnsi"/>
                <w:sz w:val="24"/>
                <w:szCs w:val="24"/>
              </w:rPr>
              <w:t>2</w:t>
            </w:r>
            <w:r w:rsidRPr="002D60D8">
              <w:rPr>
                <w:rFonts w:cstheme="minorHAnsi"/>
                <w:sz w:val="24"/>
                <w:szCs w:val="24"/>
              </w:rPr>
              <w:t>,</w:t>
            </w:r>
            <w:r>
              <w:rPr>
                <w:rFonts w:cstheme="minorHAnsi"/>
                <w:sz w:val="24"/>
                <w:szCs w:val="24"/>
              </w:rPr>
              <w:t>499,999</w:t>
            </w:r>
          </w:p>
        </w:tc>
      </w:tr>
      <w:tr w:rsidR="001B6548" w14:paraId="01859D55" w14:textId="77777777" w:rsidTr="00F93D74">
        <w:tc>
          <w:tcPr>
            <w:tcW w:w="3505" w:type="dxa"/>
          </w:tcPr>
          <w:p w14:paraId="1BB1BCC6"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0CA3C33C" w14:textId="78DF900A" w:rsidR="001B6548" w:rsidRDefault="001B6548" w:rsidP="00F93D74">
            <w:pPr>
              <w:spacing w:after="40"/>
              <w:rPr>
                <w:rFonts w:cstheme="minorHAnsi"/>
                <w:sz w:val="24"/>
                <w:szCs w:val="24"/>
              </w:rPr>
            </w:pPr>
            <w:r>
              <w:rPr>
                <w:rFonts w:cstheme="minorHAnsi"/>
                <w:sz w:val="24"/>
                <w:szCs w:val="24"/>
              </w:rPr>
              <w:t>Direct</w:t>
            </w:r>
          </w:p>
        </w:tc>
      </w:tr>
      <w:tr w:rsidR="001B6548" w14:paraId="68B5A97B" w14:textId="77777777" w:rsidTr="00F93D74">
        <w:tc>
          <w:tcPr>
            <w:tcW w:w="3505" w:type="dxa"/>
          </w:tcPr>
          <w:p w14:paraId="7DF172C2"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32CC751D" w14:textId="53E03AB1" w:rsidR="001B6548" w:rsidRDefault="001B6548" w:rsidP="00F93D74">
            <w:pPr>
              <w:spacing w:after="40"/>
              <w:rPr>
                <w:rFonts w:cstheme="minorHAnsi"/>
                <w:sz w:val="24"/>
                <w:szCs w:val="24"/>
              </w:rPr>
            </w:pPr>
            <w:r>
              <w:rPr>
                <w:rFonts w:cstheme="minorHAnsi"/>
                <w:sz w:val="24"/>
                <w:szCs w:val="24"/>
              </w:rPr>
              <w:t>250</w:t>
            </w:r>
          </w:p>
        </w:tc>
      </w:tr>
      <w:tr w:rsidR="001B6548" w14:paraId="7AA361B5" w14:textId="77777777" w:rsidTr="00F93D74">
        <w:tc>
          <w:tcPr>
            <w:tcW w:w="3505" w:type="dxa"/>
          </w:tcPr>
          <w:p w14:paraId="1C33CC9F"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0A3DA9AF" w14:textId="2741654E" w:rsidR="001B6548" w:rsidRDefault="003671F9" w:rsidP="00F93D74">
            <w:pPr>
              <w:spacing w:after="40"/>
              <w:rPr>
                <w:rFonts w:cstheme="minorHAnsi"/>
                <w:sz w:val="24"/>
                <w:szCs w:val="24"/>
              </w:rPr>
            </w:pPr>
            <w:r>
              <w:rPr>
                <w:rFonts w:cstheme="minorHAnsi"/>
                <w:sz w:val="24"/>
                <w:szCs w:val="24"/>
              </w:rPr>
              <w:t xml:space="preserve">Iowa Department of Corrections; </w:t>
            </w:r>
            <w:r w:rsidR="0008284A">
              <w:rPr>
                <w:rFonts w:cstheme="minorHAnsi"/>
                <w:sz w:val="24"/>
                <w:szCs w:val="24"/>
              </w:rPr>
              <w:t>Woodbury County Jail</w:t>
            </w:r>
          </w:p>
        </w:tc>
      </w:tr>
      <w:tr w:rsidR="001B6548" w14:paraId="417F581A" w14:textId="77777777" w:rsidTr="00F93D74">
        <w:tc>
          <w:tcPr>
            <w:tcW w:w="3505" w:type="dxa"/>
          </w:tcPr>
          <w:p w14:paraId="68E8535D"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33D3054E" w14:textId="76A5D18D" w:rsidR="001B6548" w:rsidRDefault="00AE637C" w:rsidP="00F93D74">
            <w:pPr>
              <w:spacing w:after="40"/>
              <w:rPr>
                <w:rFonts w:cstheme="minorHAnsi"/>
                <w:sz w:val="24"/>
                <w:szCs w:val="24"/>
              </w:rPr>
            </w:pPr>
            <w:r>
              <w:rPr>
                <w:rFonts w:cstheme="minorHAnsi"/>
                <w:sz w:val="24"/>
                <w:szCs w:val="24"/>
              </w:rPr>
              <w:t>Woodbury County, I</w:t>
            </w:r>
            <w:r w:rsidR="000604D6">
              <w:rPr>
                <w:rFonts w:cstheme="minorHAnsi"/>
                <w:sz w:val="24"/>
                <w:szCs w:val="24"/>
              </w:rPr>
              <w:t>A; S</w:t>
            </w:r>
            <w:r w:rsidR="003671F9">
              <w:rPr>
                <w:rFonts w:cstheme="minorHAnsi"/>
                <w:sz w:val="24"/>
                <w:szCs w:val="24"/>
              </w:rPr>
              <w:t>ioux City, IA</w:t>
            </w:r>
          </w:p>
        </w:tc>
      </w:tr>
    </w:tbl>
    <w:p w14:paraId="03985A66" w14:textId="77777777" w:rsidR="001D1923" w:rsidRPr="002D60D8" w:rsidRDefault="001D1923" w:rsidP="001D1923">
      <w:pPr>
        <w:spacing w:after="40" w:line="240" w:lineRule="auto"/>
        <w:rPr>
          <w:rFonts w:cstheme="minorHAnsi"/>
          <w:sz w:val="24"/>
          <w:szCs w:val="24"/>
        </w:rPr>
      </w:pPr>
    </w:p>
    <w:p w14:paraId="0CCC43C9" w14:textId="1144EECC" w:rsidR="00796A76" w:rsidRDefault="001D1923" w:rsidP="00796A76">
      <w:pPr>
        <w:spacing w:after="40" w:line="240" w:lineRule="auto"/>
        <w:rPr>
          <w:rFonts w:cstheme="minorHAnsi"/>
          <w:sz w:val="24"/>
          <w:szCs w:val="24"/>
        </w:rPr>
      </w:pPr>
      <w:r w:rsidRPr="002D60D8">
        <w:rPr>
          <w:rFonts w:cstheme="minorHAnsi"/>
          <w:b/>
          <w:bCs/>
          <w:sz w:val="24"/>
          <w:szCs w:val="24"/>
        </w:rPr>
        <w:t>Project Summary:</w:t>
      </w:r>
      <w:r w:rsidRPr="002D60D8">
        <w:rPr>
          <w:rFonts w:cstheme="minorHAnsi"/>
        </w:rPr>
        <w:t xml:space="preserve">  </w:t>
      </w:r>
      <w:r w:rsidR="006F77BC" w:rsidRPr="002D60D8">
        <w:rPr>
          <w:rFonts w:cstheme="minorHAnsi"/>
          <w:sz w:val="24"/>
          <w:szCs w:val="24"/>
        </w:rPr>
        <w:t xml:space="preserve">The purpose of this project is </w:t>
      </w:r>
      <w:r w:rsidR="0097478C" w:rsidRPr="0097478C">
        <w:rPr>
          <w:rFonts w:cstheme="minorHAnsi"/>
          <w:sz w:val="24"/>
          <w:szCs w:val="24"/>
        </w:rPr>
        <w:t>to respond to a critical gap in Woodbury County, Iowa for pre- and post-release workforce development reentry services. Siouxland Pathway</w:t>
      </w:r>
      <w:r w:rsidR="00A90641">
        <w:rPr>
          <w:rFonts w:cstheme="minorHAnsi"/>
          <w:sz w:val="24"/>
          <w:szCs w:val="24"/>
        </w:rPr>
        <w:t xml:space="preserve"> will </w:t>
      </w:r>
      <w:r w:rsidR="0097478C" w:rsidRPr="0097478C">
        <w:rPr>
          <w:rFonts w:cstheme="minorHAnsi"/>
          <w:sz w:val="24"/>
          <w:szCs w:val="24"/>
        </w:rPr>
        <w:t>provide workforce reentry services while participants are still incarcerated and</w:t>
      </w:r>
      <w:r w:rsidR="00940DE1">
        <w:rPr>
          <w:rFonts w:cstheme="minorHAnsi"/>
          <w:sz w:val="24"/>
          <w:szCs w:val="24"/>
        </w:rPr>
        <w:t xml:space="preserve"> </w:t>
      </w:r>
      <w:r w:rsidR="00B72283">
        <w:rPr>
          <w:rFonts w:cstheme="minorHAnsi"/>
          <w:sz w:val="24"/>
          <w:szCs w:val="24"/>
        </w:rPr>
        <w:t>continue</w:t>
      </w:r>
      <w:r w:rsidR="0097478C" w:rsidRPr="0097478C">
        <w:rPr>
          <w:rFonts w:cstheme="minorHAnsi"/>
          <w:sz w:val="24"/>
          <w:szCs w:val="24"/>
        </w:rPr>
        <w:t xml:space="preserve"> post-release, designed</w:t>
      </w:r>
      <w:r w:rsidR="0097478C">
        <w:rPr>
          <w:rFonts w:cstheme="minorHAnsi"/>
          <w:sz w:val="24"/>
          <w:szCs w:val="24"/>
        </w:rPr>
        <w:t xml:space="preserve"> </w:t>
      </w:r>
      <w:r w:rsidR="0097478C" w:rsidRPr="0097478C">
        <w:rPr>
          <w:rFonts w:cstheme="minorHAnsi"/>
          <w:sz w:val="24"/>
          <w:szCs w:val="24"/>
        </w:rPr>
        <w:t>to eliminate the gap between release and</w:t>
      </w:r>
      <w:r w:rsidR="0097478C">
        <w:rPr>
          <w:rFonts w:cstheme="minorHAnsi"/>
          <w:sz w:val="24"/>
          <w:szCs w:val="24"/>
        </w:rPr>
        <w:t xml:space="preserve"> </w:t>
      </w:r>
      <w:r w:rsidR="0097478C" w:rsidRPr="0097478C">
        <w:rPr>
          <w:rFonts w:cstheme="minorHAnsi"/>
          <w:sz w:val="24"/>
          <w:szCs w:val="24"/>
        </w:rPr>
        <w:t>employment, with over 65% achieving industry recognized credentials.</w:t>
      </w:r>
    </w:p>
    <w:p w14:paraId="29EB933E" w14:textId="77777777" w:rsidR="00796A76" w:rsidRDefault="00796A76" w:rsidP="00796A76">
      <w:pPr>
        <w:spacing w:after="40" w:line="240" w:lineRule="auto"/>
        <w:rPr>
          <w:rFonts w:cstheme="minorHAnsi"/>
          <w:sz w:val="24"/>
          <w:szCs w:val="24"/>
        </w:rPr>
      </w:pPr>
    </w:p>
    <w:p w14:paraId="07CE88BD" w14:textId="5DA7596B" w:rsidR="001D1923" w:rsidRPr="00796A76" w:rsidRDefault="00796A76" w:rsidP="00796A76">
      <w:pPr>
        <w:spacing w:after="40" w:line="240" w:lineRule="auto"/>
        <w:rPr>
          <w:rFonts w:cstheme="minorHAnsi"/>
          <w:sz w:val="24"/>
          <w:szCs w:val="24"/>
        </w:rPr>
      </w:pPr>
      <w:r w:rsidRPr="00796A76">
        <w:rPr>
          <w:rFonts w:cstheme="minorHAnsi"/>
          <w:sz w:val="24"/>
          <w:szCs w:val="24"/>
        </w:rPr>
        <w:t xml:space="preserve">Siouxland Human Investment Partnership (SHIP) in partnership with Woodbury County Jail and Iowa Third Judicial District Residential Treatment Facility proposes to respond to a critical gap in Woodbury County, Iowa for </w:t>
      </w:r>
      <w:r w:rsidR="00FE5EF3" w:rsidRPr="00796A76">
        <w:rPr>
          <w:rFonts w:cstheme="minorHAnsi"/>
          <w:sz w:val="24"/>
          <w:szCs w:val="24"/>
        </w:rPr>
        <w:t>pre-</w:t>
      </w:r>
      <w:r w:rsidRPr="00796A76">
        <w:rPr>
          <w:rFonts w:cstheme="minorHAnsi"/>
          <w:sz w:val="24"/>
          <w:szCs w:val="24"/>
        </w:rPr>
        <w:t xml:space="preserve"> and post-release workforce development reentry services. SHIP will deliver Siouxland Pathway to 250 individuals resulting in skill-based employment in high demand careers, customized wraparound pre- and post-release services, and over 65% achieving industry recognized credentials. It will bridge 250 individuals to high demand careers with established employers in the areas of Childcare, Health Care, Industrial Maintenance &amp; Environmental Services, Trade Careers, and Transportation/ Commercial Driving. </w:t>
      </w:r>
      <w:r w:rsidRPr="00796A76">
        <w:rPr>
          <w:rFonts w:cstheme="minorHAnsi"/>
          <w:sz w:val="24"/>
          <w:szCs w:val="24"/>
        </w:rPr>
        <w:cr/>
      </w:r>
    </w:p>
    <w:p w14:paraId="19607C00" w14:textId="045093BD" w:rsidR="001D1923" w:rsidRPr="002D60D8" w:rsidRDefault="001D1923" w:rsidP="001D1923">
      <w:pPr>
        <w:spacing w:after="40" w:line="240" w:lineRule="auto"/>
        <w:rPr>
          <w:rFonts w:cstheme="minorHAnsi"/>
          <w:color w:val="000000" w:themeColor="text1"/>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are: </w:t>
      </w:r>
      <w:r w:rsidR="00C84E1F">
        <w:rPr>
          <w:rFonts w:cstheme="minorHAnsi"/>
          <w:sz w:val="24"/>
          <w:szCs w:val="24"/>
        </w:rPr>
        <w:t>60</w:t>
      </w:r>
      <w:r w:rsidRPr="00C84E1F">
        <w:rPr>
          <w:rFonts w:cstheme="minorHAnsi"/>
          <w:sz w:val="24"/>
          <w:szCs w:val="24"/>
        </w:rPr>
        <w:t xml:space="preserve">% employment rate 2nd quarter after exit; </w:t>
      </w:r>
      <w:r w:rsidR="00C84E1F">
        <w:rPr>
          <w:rFonts w:cstheme="minorHAnsi"/>
          <w:sz w:val="24"/>
          <w:szCs w:val="24"/>
        </w:rPr>
        <w:t>50</w:t>
      </w:r>
      <w:r w:rsidRPr="00C84E1F">
        <w:rPr>
          <w:rFonts w:cstheme="minorHAnsi"/>
          <w:sz w:val="24"/>
          <w:szCs w:val="24"/>
        </w:rPr>
        <w:t xml:space="preserve">% employment rate 4th quarter after exit; </w:t>
      </w:r>
      <w:r w:rsidR="0027600E">
        <w:rPr>
          <w:rFonts w:cstheme="minorHAnsi"/>
          <w:sz w:val="24"/>
          <w:szCs w:val="24"/>
        </w:rPr>
        <w:t xml:space="preserve">$6,000 </w:t>
      </w:r>
      <w:r w:rsidRPr="00C84E1F">
        <w:rPr>
          <w:rFonts w:cstheme="minorHAnsi"/>
          <w:sz w:val="24"/>
          <w:szCs w:val="24"/>
        </w:rPr>
        <w:t>median earnings 2nd quarter after exit; 6</w:t>
      </w:r>
      <w:r w:rsidR="00021288">
        <w:rPr>
          <w:rFonts w:cstheme="minorHAnsi"/>
          <w:sz w:val="24"/>
          <w:szCs w:val="24"/>
        </w:rPr>
        <w:t>5</w:t>
      </w:r>
      <w:r w:rsidRPr="00C84E1F">
        <w:rPr>
          <w:rFonts w:cstheme="minorHAnsi"/>
          <w:sz w:val="24"/>
          <w:szCs w:val="24"/>
        </w:rPr>
        <w:t xml:space="preserve">% credential attainment; 65% measurable skill gains; </w:t>
      </w:r>
      <w:r w:rsidR="00021288">
        <w:rPr>
          <w:rFonts w:cstheme="minorHAnsi"/>
          <w:sz w:val="24"/>
          <w:szCs w:val="24"/>
        </w:rPr>
        <w:t xml:space="preserve">90% effectiveness in serving employers; </w:t>
      </w:r>
      <w:r w:rsidRPr="00C84E1F">
        <w:rPr>
          <w:rFonts w:cstheme="minorHAnsi"/>
          <w:sz w:val="24"/>
          <w:szCs w:val="24"/>
        </w:rPr>
        <w:t xml:space="preserve">and less than </w:t>
      </w:r>
      <w:r w:rsidR="00021288">
        <w:rPr>
          <w:rFonts w:cstheme="minorHAnsi"/>
          <w:sz w:val="24"/>
          <w:szCs w:val="24"/>
        </w:rPr>
        <w:t>31</w:t>
      </w:r>
      <w:r w:rsidRPr="00C84E1F">
        <w:rPr>
          <w:rFonts w:cstheme="minorHAnsi"/>
          <w:sz w:val="24"/>
          <w:szCs w:val="24"/>
        </w:rPr>
        <w:t>% recidivism.</w:t>
      </w:r>
    </w:p>
    <w:p w14:paraId="32C484C6" w14:textId="77777777" w:rsidR="001D1923" w:rsidRPr="002D60D8" w:rsidRDefault="001D1923">
      <w:pPr>
        <w:rPr>
          <w:rFonts w:cstheme="minorHAnsi"/>
          <w:color w:val="538135" w:themeColor="accent6" w:themeShade="BF"/>
          <w:sz w:val="24"/>
          <w:szCs w:val="24"/>
        </w:rPr>
      </w:pPr>
      <w:r w:rsidRPr="002D60D8">
        <w:rPr>
          <w:rFonts w:cstheme="minorHAnsi"/>
          <w:color w:val="538135" w:themeColor="accent6" w:themeShade="BF"/>
          <w:sz w:val="24"/>
          <w:szCs w:val="24"/>
        </w:rPr>
        <w:br w:type="page"/>
      </w:r>
    </w:p>
    <w:p w14:paraId="7DBE4FB6" w14:textId="706CC4C5" w:rsidR="001774A7" w:rsidRPr="00F87EEA" w:rsidRDefault="00F87EEA" w:rsidP="00F87EEA">
      <w:pPr>
        <w:pStyle w:val="Heading1"/>
        <w:rPr>
          <w:b/>
          <w:bCs/>
          <w:color w:val="538135" w:themeColor="accent6" w:themeShade="BF"/>
          <w:sz w:val="28"/>
          <w:szCs w:val="28"/>
        </w:rPr>
      </w:pPr>
      <w:bookmarkStart w:id="14" w:name="_Toc219121431"/>
      <w:r>
        <w:rPr>
          <w:b/>
          <w:bCs/>
          <w:color w:val="538135" w:themeColor="accent6" w:themeShade="BF"/>
          <w:sz w:val="28"/>
          <w:szCs w:val="28"/>
        </w:rPr>
        <w:lastRenderedPageBreak/>
        <w:t>South Central Workforce Development Council</w:t>
      </w:r>
      <w:bookmarkEnd w:id="14"/>
    </w:p>
    <w:p w14:paraId="09050157" w14:textId="717A3F42" w:rsidR="001774A7" w:rsidRPr="002D60D8" w:rsidRDefault="00F87EEA" w:rsidP="001774A7">
      <w:pPr>
        <w:spacing w:after="40" w:line="240" w:lineRule="auto"/>
        <w:rPr>
          <w:rFonts w:cstheme="minorHAnsi"/>
          <w:sz w:val="24"/>
          <w:szCs w:val="24"/>
        </w:rPr>
      </w:pPr>
      <w:r w:rsidRPr="002D60D8">
        <w:rPr>
          <w:rFonts w:cstheme="minorHAnsi"/>
          <w:color w:val="2F5496" w:themeColor="accent1" w:themeShade="BF"/>
          <w:sz w:val="24"/>
          <w:szCs w:val="24"/>
        </w:rPr>
        <w:t>Union Gap, WA</w:t>
      </w:r>
    </w:p>
    <w:p w14:paraId="201122C6" w14:textId="77777777" w:rsidR="001774A7" w:rsidRDefault="001774A7" w:rsidP="001774A7">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3AB923C4" w14:textId="77777777" w:rsidTr="00F93D74">
        <w:tc>
          <w:tcPr>
            <w:tcW w:w="3505" w:type="dxa"/>
          </w:tcPr>
          <w:p w14:paraId="395AF129"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70E27541" w14:textId="77777777" w:rsidR="001B6548" w:rsidRDefault="001B6548" w:rsidP="00F93D74">
            <w:pPr>
              <w:spacing w:after="40"/>
              <w:rPr>
                <w:rFonts w:cstheme="minorHAnsi"/>
                <w:sz w:val="24"/>
                <w:szCs w:val="24"/>
              </w:rPr>
            </w:pPr>
            <w:r w:rsidRPr="002D60D8">
              <w:rPr>
                <w:rFonts w:cstheme="minorHAnsi"/>
                <w:sz w:val="24"/>
                <w:szCs w:val="24"/>
              </w:rPr>
              <w:t>$4,000,000</w:t>
            </w:r>
          </w:p>
        </w:tc>
      </w:tr>
      <w:tr w:rsidR="001B6548" w14:paraId="7D117869" w14:textId="77777777" w:rsidTr="00F93D74">
        <w:tc>
          <w:tcPr>
            <w:tcW w:w="3505" w:type="dxa"/>
          </w:tcPr>
          <w:p w14:paraId="6B9DF86F"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2650992F" w14:textId="7F12F73E" w:rsidR="001B6548" w:rsidRDefault="001B6548" w:rsidP="00F93D74">
            <w:pPr>
              <w:spacing w:after="40"/>
              <w:rPr>
                <w:rFonts w:cstheme="minorHAnsi"/>
                <w:sz w:val="24"/>
                <w:szCs w:val="24"/>
              </w:rPr>
            </w:pPr>
            <w:r>
              <w:rPr>
                <w:rFonts w:cstheme="minorHAnsi"/>
                <w:sz w:val="24"/>
                <w:szCs w:val="24"/>
              </w:rPr>
              <w:t>Direct</w:t>
            </w:r>
          </w:p>
        </w:tc>
      </w:tr>
      <w:tr w:rsidR="001B6548" w14:paraId="20B0E8DC" w14:textId="77777777" w:rsidTr="00F93D74">
        <w:tc>
          <w:tcPr>
            <w:tcW w:w="3505" w:type="dxa"/>
          </w:tcPr>
          <w:p w14:paraId="22455A45"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59A4C1F0" w14:textId="77777777" w:rsidR="001B6548" w:rsidRDefault="001B6548" w:rsidP="00F93D74">
            <w:pPr>
              <w:spacing w:after="40"/>
              <w:rPr>
                <w:rFonts w:cstheme="minorHAnsi"/>
                <w:sz w:val="24"/>
                <w:szCs w:val="24"/>
              </w:rPr>
            </w:pPr>
            <w:r>
              <w:rPr>
                <w:rFonts w:cstheme="minorHAnsi"/>
                <w:sz w:val="24"/>
                <w:szCs w:val="24"/>
              </w:rPr>
              <w:t>400</w:t>
            </w:r>
          </w:p>
        </w:tc>
      </w:tr>
      <w:tr w:rsidR="001B6548" w14:paraId="53CABBBF" w14:textId="77777777" w:rsidTr="00F93D74">
        <w:tc>
          <w:tcPr>
            <w:tcW w:w="3505" w:type="dxa"/>
          </w:tcPr>
          <w:p w14:paraId="3DE1FD24"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21B910EB" w14:textId="5FC4260F" w:rsidR="001B6548" w:rsidRDefault="005D4688" w:rsidP="00F93D74">
            <w:pPr>
              <w:spacing w:after="40"/>
              <w:rPr>
                <w:rFonts w:cstheme="minorHAnsi"/>
                <w:sz w:val="24"/>
                <w:szCs w:val="24"/>
              </w:rPr>
            </w:pPr>
            <w:r>
              <w:rPr>
                <w:rFonts w:cstheme="minorHAnsi"/>
                <w:sz w:val="24"/>
                <w:szCs w:val="24"/>
              </w:rPr>
              <w:t>Yakima County Department of Corrections; Chelan County Regional Jail</w:t>
            </w:r>
          </w:p>
        </w:tc>
      </w:tr>
      <w:tr w:rsidR="001B6548" w14:paraId="2F8B2C46" w14:textId="77777777" w:rsidTr="00F93D74">
        <w:tc>
          <w:tcPr>
            <w:tcW w:w="3505" w:type="dxa"/>
          </w:tcPr>
          <w:p w14:paraId="239166F4"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1C276CF1" w14:textId="27654145" w:rsidR="001B6548" w:rsidRDefault="00462BC0" w:rsidP="00F93D74">
            <w:pPr>
              <w:spacing w:after="40"/>
              <w:rPr>
                <w:rFonts w:cstheme="minorHAnsi"/>
                <w:sz w:val="24"/>
                <w:szCs w:val="24"/>
              </w:rPr>
            </w:pPr>
            <w:r>
              <w:rPr>
                <w:rFonts w:cstheme="minorHAnsi"/>
                <w:sz w:val="24"/>
                <w:szCs w:val="24"/>
              </w:rPr>
              <w:t>Yakima County</w:t>
            </w:r>
            <w:r w:rsidR="0064387D">
              <w:rPr>
                <w:rFonts w:cstheme="minorHAnsi"/>
                <w:sz w:val="24"/>
                <w:szCs w:val="24"/>
              </w:rPr>
              <w:t>, Chelan County, WA</w:t>
            </w:r>
          </w:p>
        </w:tc>
      </w:tr>
    </w:tbl>
    <w:p w14:paraId="6B8A833F" w14:textId="77777777" w:rsidR="00F87EEA" w:rsidRPr="002D60D8" w:rsidRDefault="00F87EEA" w:rsidP="00F87EEA">
      <w:pPr>
        <w:spacing w:after="40" w:line="240" w:lineRule="auto"/>
        <w:rPr>
          <w:rFonts w:cstheme="minorHAnsi"/>
          <w:sz w:val="24"/>
          <w:szCs w:val="24"/>
        </w:rPr>
      </w:pPr>
    </w:p>
    <w:p w14:paraId="56A2CEA2" w14:textId="5C1A2229" w:rsidR="00D53287" w:rsidRDefault="00F87EEA" w:rsidP="00D53287">
      <w:pPr>
        <w:spacing w:after="40" w:line="240" w:lineRule="auto"/>
        <w:rPr>
          <w:rFonts w:cstheme="minorHAnsi"/>
          <w:sz w:val="24"/>
          <w:szCs w:val="24"/>
        </w:rPr>
      </w:pPr>
      <w:r w:rsidRPr="002D60D8">
        <w:rPr>
          <w:rFonts w:cstheme="minorHAnsi"/>
          <w:b/>
          <w:bCs/>
          <w:sz w:val="24"/>
          <w:szCs w:val="24"/>
        </w:rPr>
        <w:t>Project Summary</w:t>
      </w:r>
      <w:proofErr w:type="gramStart"/>
      <w:r w:rsidRPr="002D60D8">
        <w:rPr>
          <w:rFonts w:cstheme="minorHAnsi"/>
          <w:b/>
          <w:bCs/>
          <w:sz w:val="24"/>
          <w:szCs w:val="24"/>
        </w:rPr>
        <w:t>:</w:t>
      </w:r>
      <w:r w:rsidRPr="002D60D8">
        <w:rPr>
          <w:rFonts w:cstheme="minorHAnsi"/>
        </w:rPr>
        <w:t xml:space="preserve">  </w:t>
      </w:r>
      <w:r w:rsidR="005C661D" w:rsidRPr="002D60D8">
        <w:rPr>
          <w:rFonts w:cstheme="minorHAnsi"/>
          <w:sz w:val="24"/>
          <w:szCs w:val="24"/>
        </w:rPr>
        <w:t>The</w:t>
      </w:r>
      <w:proofErr w:type="gramEnd"/>
      <w:r w:rsidR="005C661D" w:rsidRPr="002D60D8">
        <w:rPr>
          <w:rFonts w:cstheme="minorHAnsi"/>
          <w:sz w:val="24"/>
          <w:szCs w:val="24"/>
        </w:rPr>
        <w:t xml:space="preserve"> purpose of this project is </w:t>
      </w:r>
      <w:r w:rsidR="005C661D">
        <w:rPr>
          <w:rFonts w:cstheme="minorHAnsi"/>
          <w:sz w:val="24"/>
          <w:szCs w:val="24"/>
        </w:rPr>
        <w:t xml:space="preserve">to </w:t>
      </w:r>
      <w:r w:rsidR="001B6F62" w:rsidRPr="001B6F62">
        <w:rPr>
          <w:rFonts w:cstheme="minorHAnsi"/>
          <w:sz w:val="24"/>
          <w:szCs w:val="24"/>
        </w:rPr>
        <w:t>provide a structured workforce development and reentry program for justice-involved individuals in rural counties across Central Washington. The program will connect participants with pre-release career training, post-release employment services, and wraparound support to ensure successful reintegration into the workforce and reduce recidivism</w:t>
      </w:r>
      <w:r w:rsidR="001B6F62">
        <w:rPr>
          <w:rFonts w:cstheme="minorHAnsi"/>
          <w:sz w:val="24"/>
          <w:szCs w:val="24"/>
        </w:rPr>
        <w:t>.</w:t>
      </w:r>
    </w:p>
    <w:p w14:paraId="670DF649" w14:textId="77777777" w:rsidR="00D53287" w:rsidRDefault="00D53287" w:rsidP="00D53287">
      <w:pPr>
        <w:spacing w:after="40" w:line="240" w:lineRule="auto"/>
        <w:rPr>
          <w:rFonts w:cstheme="minorHAnsi"/>
          <w:sz w:val="24"/>
          <w:szCs w:val="24"/>
        </w:rPr>
      </w:pPr>
    </w:p>
    <w:p w14:paraId="1CDE67EF" w14:textId="42C978A8" w:rsidR="00F87EEA" w:rsidRDefault="00D53287" w:rsidP="00D53287">
      <w:pPr>
        <w:spacing w:after="40" w:line="240" w:lineRule="auto"/>
        <w:rPr>
          <w:rFonts w:cstheme="minorHAnsi"/>
          <w:sz w:val="24"/>
          <w:szCs w:val="24"/>
        </w:rPr>
      </w:pPr>
      <w:r w:rsidRPr="00D53287">
        <w:rPr>
          <w:rFonts w:cstheme="minorHAnsi"/>
          <w:sz w:val="24"/>
          <w:szCs w:val="24"/>
        </w:rPr>
        <w:t>The RESET Program will provide 400 justice-involved individuals with a comprehensive reentry strategy, integrating pre-release training, post-release job placement, and wraparound support to ensure workforce reintegration. The program will begin pre-release, offering career assessments, digital literacy training, industry-recognized credentialing, and job readiness workshops inside correctional facilities. Upon release, participants will receive job placement services, industry-recognized credentialing, case management, housing support, and access to</w:t>
      </w:r>
      <w:r>
        <w:rPr>
          <w:rFonts w:cstheme="minorHAnsi"/>
          <w:sz w:val="24"/>
          <w:szCs w:val="24"/>
        </w:rPr>
        <w:t xml:space="preserve"> </w:t>
      </w:r>
      <w:r w:rsidRPr="00D53287">
        <w:rPr>
          <w:rFonts w:cstheme="minorHAnsi"/>
          <w:sz w:val="24"/>
          <w:szCs w:val="24"/>
        </w:rPr>
        <w:t>mental health and substance use treatment. A strong employer engagement component will ensure participants transition into high-quality jobs in construction, manufacturing, logistics, and green energy sectors, with pathways into apprenticeships and long-term career</w:t>
      </w:r>
      <w:r>
        <w:rPr>
          <w:rFonts w:cstheme="minorHAnsi"/>
          <w:sz w:val="24"/>
          <w:szCs w:val="24"/>
        </w:rPr>
        <w:t xml:space="preserve"> </w:t>
      </w:r>
      <w:r w:rsidRPr="00D53287">
        <w:rPr>
          <w:rFonts w:cstheme="minorHAnsi"/>
          <w:sz w:val="24"/>
          <w:szCs w:val="24"/>
        </w:rPr>
        <w:t xml:space="preserve">advancement. </w:t>
      </w:r>
    </w:p>
    <w:p w14:paraId="5F2258CB" w14:textId="77777777" w:rsidR="007E4CA1" w:rsidRPr="00D53287" w:rsidRDefault="007E4CA1" w:rsidP="00D53287">
      <w:pPr>
        <w:spacing w:after="40" w:line="240" w:lineRule="auto"/>
        <w:rPr>
          <w:rFonts w:cstheme="minorHAnsi"/>
          <w:sz w:val="24"/>
          <w:szCs w:val="24"/>
        </w:rPr>
      </w:pPr>
    </w:p>
    <w:p w14:paraId="1B45F812" w14:textId="61FCA14D" w:rsidR="00F87EEA" w:rsidRPr="002D60D8" w:rsidRDefault="00F87EEA" w:rsidP="00F87EEA">
      <w:pPr>
        <w:spacing w:after="40" w:line="240" w:lineRule="auto"/>
        <w:rPr>
          <w:rFonts w:cstheme="minorHAnsi"/>
          <w:color w:val="000000" w:themeColor="text1"/>
          <w:sz w:val="24"/>
          <w:szCs w:val="24"/>
        </w:rPr>
      </w:pPr>
      <w:r w:rsidRPr="002D60D8">
        <w:rPr>
          <w:rFonts w:cstheme="minorHAnsi"/>
          <w:color w:val="000000" w:themeColor="text1"/>
          <w:sz w:val="24"/>
          <w:szCs w:val="24"/>
        </w:rPr>
        <w:t xml:space="preserve">The </w:t>
      </w:r>
      <w:r w:rsidRPr="002D60D8">
        <w:rPr>
          <w:rFonts w:cstheme="minorHAnsi"/>
          <w:b/>
          <w:bCs/>
          <w:color w:val="000000" w:themeColor="text1"/>
          <w:sz w:val="24"/>
          <w:szCs w:val="24"/>
        </w:rPr>
        <w:t>proposed outcomes</w:t>
      </w:r>
      <w:r w:rsidRPr="002D60D8">
        <w:rPr>
          <w:rFonts w:cstheme="minorHAnsi"/>
          <w:color w:val="000000" w:themeColor="text1"/>
          <w:sz w:val="24"/>
          <w:szCs w:val="24"/>
        </w:rPr>
        <w:t xml:space="preserve"> are: </w:t>
      </w:r>
      <w:r w:rsidRPr="00BA55E0">
        <w:rPr>
          <w:rFonts w:cstheme="minorHAnsi"/>
          <w:sz w:val="24"/>
          <w:szCs w:val="24"/>
        </w:rPr>
        <w:t xml:space="preserve">55% employment rate 2nd quarter after exit; 45% employment rate 4th quarter after exit; </w:t>
      </w:r>
      <w:r w:rsidR="0027600E">
        <w:rPr>
          <w:rFonts w:cstheme="minorHAnsi"/>
          <w:sz w:val="24"/>
          <w:szCs w:val="24"/>
        </w:rPr>
        <w:t xml:space="preserve">$6,000 </w:t>
      </w:r>
      <w:r w:rsidRPr="00BA55E0">
        <w:rPr>
          <w:rFonts w:cstheme="minorHAnsi"/>
          <w:sz w:val="24"/>
          <w:szCs w:val="24"/>
        </w:rPr>
        <w:t xml:space="preserve">median earnings 2nd quarter after exit; 60% credential attainment; 65% measurable skill gains; and less than </w:t>
      </w:r>
      <w:r w:rsidR="00E878EF">
        <w:rPr>
          <w:rFonts w:cstheme="minorHAnsi"/>
          <w:sz w:val="24"/>
          <w:szCs w:val="24"/>
        </w:rPr>
        <w:t>30.7</w:t>
      </w:r>
      <w:r w:rsidRPr="00BA55E0">
        <w:rPr>
          <w:rFonts w:cstheme="minorHAnsi"/>
          <w:sz w:val="24"/>
          <w:szCs w:val="24"/>
        </w:rPr>
        <w:t>% recidivism.</w:t>
      </w:r>
    </w:p>
    <w:p w14:paraId="08691FB0" w14:textId="77777777" w:rsidR="00F87EEA" w:rsidRPr="002D60D8" w:rsidRDefault="00F87EEA">
      <w:pPr>
        <w:rPr>
          <w:rFonts w:cstheme="minorHAnsi"/>
          <w:color w:val="538135" w:themeColor="accent6" w:themeShade="BF"/>
          <w:sz w:val="24"/>
          <w:szCs w:val="24"/>
        </w:rPr>
      </w:pPr>
      <w:r w:rsidRPr="002D60D8">
        <w:rPr>
          <w:rFonts w:cstheme="minorHAnsi"/>
          <w:color w:val="538135" w:themeColor="accent6" w:themeShade="BF"/>
          <w:sz w:val="24"/>
          <w:szCs w:val="24"/>
        </w:rPr>
        <w:br w:type="page"/>
      </w:r>
    </w:p>
    <w:p w14:paraId="52066E86" w14:textId="0CACD2FC" w:rsidR="00300078" w:rsidRPr="00254D8B" w:rsidRDefault="00254D8B" w:rsidP="00254D8B">
      <w:pPr>
        <w:pStyle w:val="Heading1"/>
        <w:rPr>
          <w:b/>
          <w:bCs/>
          <w:color w:val="538135" w:themeColor="accent6" w:themeShade="BF"/>
          <w:sz w:val="28"/>
          <w:szCs w:val="28"/>
        </w:rPr>
      </w:pPr>
      <w:bookmarkStart w:id="15" w:name="_Toc219121432"/>
      <w:r>
        <w:rPr>
          <w:b/>
          <w:bCs/>
          <w:color w:val="538135" w:themeColor="accent6" w:themeShade="BF"/>
          <w:sz w:val="28"/>
          <w:szCs w:val="28"/>
        </w:rPr>
        <w:lastRenderedPageBreak/>
        <w:t>Southwest Wisconsin Workforce Development Board, Inc.</w:t>
      </w:r>
      <w:bookmarkEnd w:id="15"/>
    </w:p>
    <w:p w14:paraId="5BCAFD3E" w14:textId="4D5E0785" w:rsidR="00300078" w:rsidRPr="002D60D8" w:rsidRDefault="00254D8B" w:rsidP="00300078">
      <w:pPr>
        <w:spacing w:after="40" w:line="240" w:lineRule="auto"/>
        <w:rPr>
          <w:rFonts w:cstheme="minorHAnsi"/>
          <w:sz w:val="24"/>
          <w:szCs w:val="24"/>
        </w:rPr>
      </w:pPr>
      <w:r w:rsidRPr="002D60D8">
        <w:rPr>
          <w:rFonts w:cstheme="minorHAnsi"/>
          <w:color w:val="2F5496" w:themeColor="accent1" w:themeShade="BF"/>
          <w:sz w:val="24"/>
          <w:szCs w:val="24"/>
        </w:rPr>
        <w:t>Platteville, WI</w:t>
      </w:r>
    </w:p>
    <w:p w14:paraId="15622950" w14:textId="77777777" w:rsidR="00300078" w:rsidRDefault="00300078" w:rsidP="00300078">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14:paraId="6DB8623E" w14:textId="77777777" w:rsidTr="6AC93419">
        <w:tc>
          <w:tcPr>
            <w:tcW w:w="3505" w:type="dxa"/>
          </w:tcPr>
          <w:p w14:paraId="33DE9C75" w14:textId="77777777" w:rsidR="001B6548" w:rsidRDefault="001B6548" w:rsidP="00F93D74">
            <w:pPr>
              <w:spacing w:after="40"/>
              <w:rPr>
                <w:rFonts w:cstheme="minorHAnsi"/>
                <w:sz w:val="24"/>
                <w:szCs w:val="24"/>
              </w:rPr>
            </w:pPr>
            <w:r w:rsidRPr="002D60D8">
              <w:rPr>
                <w:rFonts w:cstheme="minorHAnsi"/>
                <w:b/>
                <w:bCs/>
                <w:sz w:val="24"/>
                <w:szCs w:val="24"/>
              </w:rPr>
              <w:t>Award Amount:</w:t>
            </w:r>
          </w:p>
        </w:tc>
        <w:tc>
          <w:tcPr>
            <w:tcW w:w="5845" w:type="dxa"/>
          </w:tcPr>
          <w:p w14:paraId="7E250832" w14:textId="77777777" w:rsidR="001B6548" w:rsidRDefault="001B6548" w:rsidP="00F93D74">
            <w:pPr>
              <w:spacing w:after="40"/>
              <w:rPr>
                <w:rFonts w:cstheme="minorHAnsi"/>
                <w:sz w:val="24"/>
                <w:szCs w:val="24"/>
              </w:rPr>
            </w:pPr>
            <w:r w:rsidRPr="002D60D8">
              <w:rPr>
                <w:rFonts w:cstheme="minorHAnsi"/>
                <w:sz w:val="24"/>
                <w:szCs w:val="24"/>
              </w:rPr>
              <w:t>$4,000,000</w:t>
            </w:r>
          </w:p>
        </w:tc>
      </w:tr>
      <w:tr w:rsidR="001B6548" w14:paraId="1CD85028" w14:textId="77777777" w:rsidTr="6AC93419">
        <w:tc>
          <w:tcPr>
            <w:tcW w:w="3505" w:type="dxa"/>
          </w:tcPr>
          <w:p w14:paraId="559DDCEF" w14:textId="77777777" w:rsidR="001B6548" w:rsidRDefault="001B6548" w:rsidP="00F93D74">
            <w:pPr>
              <w:spacing w:after="40"/>
              <w:rPr>
                <w:rFonts w:cstheme="minorHAnsi"/>
                <w:sz w:val="24"/>
                <w:szCs w:val="24"/>
              </w:rPr>
            </w:pPr>
            <w:r w:rsidRPr="002D60D8">
              <w:rPr>
                <w:rFonts w:cstheme="minorHAnsi"/>
                <w:b/>
                <w:bCs/>
                <w:sz w:val="24"/>
                <w:szCs w:val="24"/>
              </w:rPr>
              <w:t>Applicant Type:</w:t>
            </w:r>
          </w:p>
        </w:tc>
        <w:tc>
          <w:tcPr>
            <w:tcW w:w="5845" w:type="dxa"/>
          </w:tcPr>
          <w:p w14:paraId="243192C5" w14:textId="4199C044" w:rsidR="001B6548" w:rsidRDefault="001B6548" w:rsidP="00F93D74">
            <w:pPr>
              <w:spacing w:after="40"/>
              <w:rPr>
                <w:rFonts w:cstheme="minorHAnsi"/>
                <w:sz w:val="24"/>
                <w:szCs w:val="24"/>
              </w:rPr>
            </w:pPr>
            <w:r>
              <w:rPr>
                <w:rFonts w:cstheme="minorHAnsi"/>
                <w:sz w:val="24"/>
                <w:szCs w:val="24"/>
              </w:rPr>
              <w:t>Direct</w:t>
            </w:r>
          </w:p>
        </w:tc>
      </w:tr>
      <w:tr w:rsidR="001B6548" w14:paraId="6202F64C" w14:textId="77777777" w:rsidTr="6AC93419">
        <w:tc>
          <w:tcPr>
            <w:tcW w:w="3505" w:type="dxa"/>
          </w:tcPr>
          <w:p w14:paraId="3187D80A" w14:textId="77777777" w:rsidR="001B6548" w:rsidRDefault="001B6548"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4377B260" w14:textId="17DA5808" w:rsidR="001B6548" w:rsidRDefault="001B6548" w:rsidP="00F93D74">
            <w:pPr>
              <w:spacing w:after="40"/>
              <w:rPr>
                <w:rFonts w:cstheme="minorHAnsi"/>
                <w:sz w:val="24"/>
                <w:szCs w:val="24"/>
              </w:rPr>
            </w:pPr>
            <w:r>
              <w:rPr>
                <w:rFonts w:cstheme="minorHAnsi"/>
                <w:sz w:val="24"/>
                <w:szCs w:val="24"/>
              </w:rPr>
              <w:t>800</w:t>
            </w:r>
          </w:p>
        </w:tc>
      </w:tr>
      <w:tr w:rsidR="001B6548" w14:paraId="6F50DF59" w14:textId="77777777" w:rsidTr="6AC93419">
        <w:tc>
          <w:tcPr>
            <w:tcW w:w="3505" w:type="dxa"/>
          </w:tcPr>
          <w:p w14:paraId="26AFB141" w14:textId="77777777" w:rsidR="001B6548" w:rsidRDefault="001B6548" w:rsidP="00F93D74">
            <w:pPr>
              <w:spacing w:after="40"/>
              <w:rPr>
                <w:rFonts w:cstheme="minorHAnsi"/>
                <w:sz w:val="24"/>
                <w:szCs w:val="24"/>
              </w:rPr>
            </w:pPr>
            <w:r w:rsidRPr="002D60D8">
              <w:rPr>
                <w:rFonts w:cstheme="minorHAnsi"/>
                <w:b/>
                <w:bCs/>
                <w:sz w:val="24"/>
                <w:szCs w:val="24"/>
              </w:rPr>
              <w:t>Mandatory Partners:</w:t>
            </w:r>
          </w:p>
        </w:tc>
        <w:tc>
          <w:tcPr>
            <w:tcW w:w="5845" w:type="dxa"/>
          </w:tcPr>
          <w:p w14:paraId="3D2FD6D1" w14:textId="0EBB32DD" w:rsidR="001B6548" w:rsidRDefault="2A7C3ADD" w:rsidP="6AC93419">
            <w:pPr>
              <w:spacing w:after="40"/>
              <w:rPr>
                <w:sz w:val="24"/>
                <w:szCs w:val="24"/>
              </w:rPr>
            </w:pPr>
            <w:r w:rsidRPr="6AC93419">
              <w:rPr>
                <w:sz w:val="24"/>
                <w:szCs w:val="24"/>
              </w:rPr>
              <w:t>Wisconsin Dep</w:t>
            </w:r>
            <w:r w:rsidR="79043AC2" w:rsidRPr="6AC93419">
              <w:rPr>
                <w:sz w:val="24"/>
                <w:szCs w:val="24"/>
              </w:rPr>
              <w:t>t.</w:t>
            </w:r>
            <w:r w:rsidRPr="6AC93419">
              <w:rPr>
                <w:sz w:val="24"/>
                <w:szCs w:val="24"/>
              </w:rPr>
              <w:t xml:space="preserve"> of Corrections; </w:t>
            </w:r>
            <w:r w:rsidR="45F66940" w:rsidRPr="6AC93419">
              <w:rPr>
                <w:sz w:val="24"/>
                <w:szCs w:val="24"/>
              </w:rPr>
              <w:t>Rock County Sheriff’s Dept</w:t>
            </w:r>
            <w:r w:rsidR="1C43DF0C" w:rsidRPr="6AC93419">
              <w:rPr>
                <w:sz w:val="24"/>
                <w:szCs w:val="24"/>
              </w:rPr>
              <w:t>.</w:t>
            </w:r>
            <w:r w:rsidR="3C6D68E8" w:rsidRPr="6AC93419">
              <w:rPr>
                <w:sz w:val="24"/>
                <w:szCs w:val="24"/>
              </w:rPr>
              <w:t xml:space="preserve">; </w:t>
            </w:r>
            <w:r w:rsidR="45F66940" w:rsidRPr="6AC93419">
              <w:rPr>
                <w:sz w:val="24"/>
                <w:szCs w:val="24"/>
              </w:rPr>
              <w:t>Sawyer County Sheriff’s Dept</w:t>
            </w:r>
            <w:r w:rsidR="17180711" w:rsidRPr="6AC93419">
              <w:rPr>
                <w:sz w:val="24"/>
                <w:szCs w:val="24"/>
              </w:rPr>
              <w:t>.</w:t>
            </w:r>
            <w:r w:rsidR="3C6D68E8" w:rsidRPr="6AC93419">
              <w:rPr>
                <w:sz w:val="24"/>
                <w:szCs w:val="24"/>
              </w:rPr>
              <w:t xml:space="preserve">; </w:t>
            </w:r>
            <w:r w:rsidR="45F66940" w:rsidRPr="6AC93419">
              <w:rPr>
                <w:sz w:val="24"/>
                <w:szCs w:val="24"/>
              </w:rPr>
              <w:t>Winnebago County Sheriff’s Dept</w:t>
            </w:r>
            <w:r w:rsidR="77903E12" w:rsidRPr="6AC93419">
              <w:rPr>
                <w:sz w:val="24"/>
                <w:szCs w:val="24"/>
              </w:rPr>
              <w:t>.</w:t>
            </w:r>
            <w:r w:rsidR="3C6D68E8" w:rsidRPr="6AC93419">
              <w:rPr>
                <w:sz w:val="24"/>
                <w:szCs w:val="24"/>
              </w:rPr>
              <w:t xml:space="preserve">; </w:t>
            </w:r>
            <w:r w:rsidR="45F66940" w:rsidRPr="6AC93419">
              <w:rPr>
                <w:sz w:val="24"/>
                <w:szCs w:val="24"/>
              </w:rPr>
              <w:t>Fond du Lac County Sheriff’s Dep</w:t>
            </w:r>
            <w:r w:rsidR="7696BA8F" w:rsidRPr="6AC93419">
              <w:rPr>
                <w:sz w:val="24"/>
                <w:szCs w:val="24"/>
              </w:rPr>
              <w:t>t.</w:t>
            </w:r>
            <w:r w:rsidR="3C6D68E8" w:rsidRPr="6AC93419">
              <w:rPr>
                <w:sz w:val="24"/>
                <w:szCs w:val="24"/>
              </w:rPr>
              <w:t xml:space="preserve">; </w:t>
            </w:r>
            <w:r w:rsidR="45F66940" w:rsidRPr="6AC93419">
              <w:rPr>
                <w:sz w:val="24"/>
                <w:szCs w:val="24"/>
              </w:rPr>
              <w:t>Grant County Sheriff’s Dept</w:t>
            </w:r>
            <w:r w:rsidR="0026CDF8" w:rsidRPr="6AC93419">
              <w:rPr>
                <w:sz w:val="24"/>
                <w:szCs w:val="24"/>
              </w:rPr>
              <w:t>.</w:t>
            </w:r>
            <w:r w:rsidR="3C6D68E8" w:rsidRPr="6AC93419">
              <w:rPr>
                <w:sz w:val="24"/>
                <w:szCs w:val="24"/>
              </w:rPr>
              <w:t>;</w:t>
            </w:r>
            <w:r w:rsidR="45F66940" w:rsidRPr="6AC93419">
              <w:rPr>
                <w:sz w:val="24"/>
                <w:szCs w:val="24"/>
              </w:rPr>
              <w:t xml:space="preserve"> Price County Sheriff’s Dep</w:t>
            </w:r>
            <w:r w:rsidR="1AFC9FA1" w:rsidRPr="6AC93419">
              <w:rPr>
                <w:sz w:val="24"/>
                <w:szCs w:val="24"/>
              </w:rPr>
              <w:t>t.</w:t>
            </w:r>
            <w:r w:rsidR="3C6D68E8" w:rsidRPr="6AC93419">
              <w:rPr>
                <w:sz w:val="24"/>
                <w:szCs w:val="24"/>
              </w:rPr>
              <w:t>;</w:t>
            </w:r>
            <w:r w:rsidR="45F66940" w:rsidRPr="6AC93419">
              <w:rPr>
                <w:sz w:val="24"/>
                <w:szCs w:val="24"/>
              </w:rPr>
              <w:t xml:space="preserve"> Green County Sheriff’s Dept</w:t>
            </w:r>
            <w:r w:rsidR="529C6599" w:rsidRPr="6AC93419">
              <w:rPr>
                <w:sz w:val="24"/>
                <w:szCs w:val="24"/>
              </w:rPr>
              <w:t>.</w:t>
            </w:r>
            <w:r w:rsidR="3C6D68E8" w:rsidRPr="6AC93419">
              <w:rPr>
                <w:sz w:val="24"/>
                <w:szCs w:val="24"/>
              </w:rPr>
              <w:t xml:space="preserve">; </w:t>
            </w:r>
            <w:r w:rsidR="45F66940" w:rsidRPr="6AC93419">
              <w:rPr>
                <w:sz w:val="24"/>
                <w:szCs w:val="24"/>
              </w:rPr>
              <w:t>Bayfield County</w:t>
            </w:r>
            <w:r w:rsidR="3C6D68E8" w:rsidRPr="6AC93419">
              <w:rPr>
                <w:sz w:val="24"/>
                <w:szCs w:val="24"/>
              </w:rPr>
              <w:t xml:space="preserve"> </w:t>
            </w:r>
            <w:r w:rsidR="45F66940" w:rsidRPr="6AC93419">
              <w:rPr>
                <w:sz w:val="24"/>
                <w:szCs w:val="24"/>
              </w:rPr>
              <w:t>Sheriff’s Dept</w:t>
            </w:r>
            <w:r w:rsidR="70D12364" w:rsidRPr="6AC93419">
              <w:rPr>
                <w:sz w:val="24"/>
                <w:szCs w:val="24"/>
              </w:rPr>
              <w:t>.</w:t>
            </w:r>
            <w:r w:rsidR="3C6D68E8" w:rsidRPr="6AC93419">
              <w:rPr>
                <w:sz w:val="24"/>
                <w:szCs w:val="24"/>
              </w:rPr>
              <w:t>;</w:t>
            </w:r>
            <w:r w:rsidR="45F66940" w:rsidRPr="6AC93419">
              <w:rPr>
                <w:sz w:val="24"/>
                <w:szCs w:val="24"/>
              </w:rPr>
              <w:t xml:space="preserve"> Clark County Jail; St. Croix County Jail</w:t>
            </w:r>
            <w:r w:rsidR="3C6D68E8" w:rsidRPr="6AC93419">
              <w:rPr>
                <w:sz w:val="24"/>
                <w:szCs w:val="24"/>
              </w:rPr>
              <w:t>;</w:t>
            </w:r>
            <w:r w:rsidR="45F66940" w:rsidRPr="6AC93419">
              <w:rPr>
                <w:sz w:val="24"/>
                <w:szCs w:val="24"/>
              </w:rPr>
              <w:t xml:space="preserve"> Ashland County Sheriff’s Office</w:t>
            </w:r>
            <w:r w:rsidR="3C6D68E8" w:rsidRPr="6AC93419">
              <w:rPr>
                <w:sz w:val="24"/>
                <w:szCs w:val="24"/>
              </w:rPr>
              <w:t xml:space="preserve">; </w:t>
            </w:r>
            <w:r w:rsidR="45F66940" w:rsidRPr="6AC93419">
              <w:rPr>
                <w:sz w:val="24"/>
                <w:szCs w:val="24"/>
              </w:rPr>
              <w:t>Burnett County Jail</w:t>
            </w:r>
            <w:r w:rsidR="3C6D68E8" w:rsidRPr="6AC93419">
              <w:rPr>
                <w:sz w:val="24"/>
                <w:szCs w:val="24"/>
              </w:rPr>
              <w:t>;</w:t>
            </w:r>
            <w:r w:rsidR="45F66940" w:rsidRPr="6AC93419">
              <w:rPr>
                <w:sz w:val="24"/>
                <w:szCs w:val="24"/>
              </w:rPr>
              <w:t xml:space="preserve"> Douglas County Jail</w:t>
            </w:r>
            <w:r w:rsidR="3C6D68E8" w:rsidRPr="6AC93419">
              <w:rPr>
                <w:sz w:val="24"/>
                <w:szCs w:val="24"/>
              </w:rPr>
              <w:t>;</w:t>
            </w:r>
            <w:r w:rsidR="45F66940" w:rsidRPr="6AC93419">
              <w:rPr>
                <w:sz w:val="24"/>
                <w:szCs w:val="24"/>
              </w:rPr>
              <w:t xml:space="preserve"> Green Lake County Jail</w:t>
            </w:r>
            <w:r w:rsidR="3C6D68E8" w:rsidRPr="6AC93419">
              <w:rPr>
                <w:sz w:val="24"/>
                <w:szCs w:val="24"/>
              </w:rPr>
              <w:t>;</w:t>
            </w:r>
            <w:r w:rsidR="45F66940" w:rsidRPr="6AC93419">
              <w:rPr>
                <w:sz w:val="24"/>
                <w:szCs w:val="24"/>
              </w:rPr>
              <w:t xml:space="preserve"> Langlade County Jail</w:t>
            </w:r>
            <w:r w:rsidR="3C6D68E8" w:rsidRPr="6AC93419">
              <w:rPr>
                <w:sz w:val="24"/>
                <w:szCs w:val="24"/>
              </w:rPr>
              <w:t>;</w:t>
            </w:r>
            <w:r w:rsidR="45F66940" w:rsidRPr="6AC93419">
              <w:rPr>
                <w:sz w:val="24"/>
                <w:szCs w:val="24"/>
              </w:rPr>
              <w:t xml:space="preserve"> Richland County Jail</w:t>
            </w:r>
            <w:r w:rsidR="3C6D68E8" w:rsidRPr="6AC93419">
              <w:rPr>
                <w:sz w:val="24"/>
                <w:szCs w:val="24"/>
              </w:rPr>
              <w:t xml:space="preserve">; </w:t>
            </w:r>
            <w:r w:rsidR="45F66940" w:rsidRPr="6AC93419">
              <w:rPr>
                <w:sz w:val="24"/>
                <w:szCs w:val="24"/>
              </w:rPr>
              <w:t>Rusk County Sheriff’s Office</w:t>
            </w:r>
            <w:r w:rsidR="3C6D68E8" w:rsidRPr="6AC93419">
              <w:rPr>
                <w:sz w:val="24"/>
                <w:szCs w:val="24"/>
              </w:rPr>
              <w:t>;</w:t>
            </w:r>
            <w:r w:rsidR="45F66940" w:rsidRPr="6AC93419">
              <w:rPr>
                <w:sz w:val="24"/>
                <w:szCs w:val="24"/>
              </w:rPr>
              <w:t xml:space="preserve"> Washburn County Jail</w:t>
            </w:r>
            <w:r w:rsidR="3C6D68E8" w:rsidRPr="6AC93419">
              <w:rPr>
                <w:sz w:val="24"/>
                <w:szCs w:val="24"/>
              </w:rPr>
              <w:t xml:space="preserve">; </w:t>
            </w:r>
            <w:r w:rsidR="45F66940" w:rsidRPr="6AC93419">
              <w:rPr>
                <w:sz w:val="24"/>
                <w:szCs w:val="24"/>
              </w:rPr>
              <w:t>Waupaca County Jail</w:t>
            </w:r>
            <w:r w:rsidR="3C6D68E8" w:rsidRPr="6AC93419">
              <w:rPr>
                <w:sz w:val="24"/>
                <w:szCs w:val="24"/>
              </w:rPr>
              <w:t>;</w:t>
            </w:r>
            <w:r w:rsidR="45F66940" w:rsidRPr="6AC93419">
              <w:rPr>
                <w:sz w:val="24"/>
                <w:szCs w:val="24"/>
              </w:rPr>
              <w:t xml:space="preserve"> Adams County Jail</w:t>
            </w:r>
            <w:r w:rsidR="3C6D68E8" w:rsidRPr="6AC93419">
              <w:rPr>
                <w:sz w:val="24"/>
                <w:szCs w:val="24"/>
              </w:rPr>
              <w:t>;</w:t>
            </w:r>
            <w:r w:rsidR="45F66940" w:rsidRPr="6AC93419">
              <w:rPr>
                <w:sz w:val="24"/>
                <w:szCs w:val="24"/>
              </w:rPr>
              <w:t xml:space="preserve"> Forest County Sheriff</w:t>
            </w:r>
            <w:r w:rsidR="3C6D68E8" w:rsidRPr="6AC93419">
              <w:rPr>
                <w:sz w:val="24"/>
                <w:szCs w:val="24"/>
              </w:rPr>
              <w:t>;</w:t>
            </w:r>
            <w:r w:rsidR="45F66940" w:rsidRPr="6AC93419">
              <w:rPr>
                <w:sz w:val="24"/>
                <w:szCs w:val="24"/>
              </w:rPr>
              <w:t xml:space="preserve"> Wood County Sheriff’s Dept</w:t>
            </w:r>
            <w:r w:rsidR="1FAFFE12" w:rsidRPr="6AC93419">
              <w:rPr>
                <w:sz w:val="24"/>
                <w:szCs w:val="24"/>
              </w:rPr>
              <w:t>.</w:t>
            </w:r>
            <w:r w:rsidR="3C6D68E8" w:rsidRPr="6AC93419">
              <w:rPr>
                <w:sz w:val="24"/>
                <w:szCs w:val="24"/>
              </w:rPr>
              <w:t>;</w:t>
            </w:r>
            <w:r w:rsidR="45F66940" w:rsidRPr="6AC93419">
              <w:rPr>
                <w:sz w:val="24"/>
                <w:szCs w:val="24"/>
              </w:rPr>
              <w:t xml:space="preserve"> Chippewa County Sheriff’s Dep</w:t>
            </w:r>
            <w:r w:rsidR="6F6A55BD" w:rsidRPr="6AC93419">
              <w:rPr>
                <w:sz w:val="24"/>
                <w:szCs w:val="24"/>
              </w:rPr>
              <w:t>t</w:t>
            </w:r>
            <w:r w:rsidR="3C6D68E8" w:rsidRPr="6AC93419">
              <w:rPr>
                <w:sz w:val="24"/>
                <w:szCs w:val="24"/>
              </w:rPr>
              <w:t>.</w:t>
            </w:r>
            <w:r w:rsidR="45F66940" w:rsidRPr="6AC93419">
              <w:rPr>
                <w:sz w:val="24"/>
                <w:szCs w:val="24"/>
              </w:rPr>
              <w:t xml:space="preserve"> </w:t>
            </w:r>
          </w:p>
        </w:tc>
      </w:tr>
      <w:tr w:rsidR="001B6548" w14:paraId="4B82401D" w14:textId="77777777" w:rsidTr="6AC93419">
        <w:tc>
          <w:tcPr>
            <w:tcW w:w="3505" w:type="dxa"/>
          </w:tcPr>
          <w:p w14:paraId="0C9547DB" w14:textId="77777777" w:rsidR="001B6548" w:rsidRDefault="001B6548" w:rsidP="00F93D74">
            <w:pPr>
              <w:spacing w:after="40"/>
              <w:rPr>
                <w:rFonts w:cstheme="minorHAnsi"/>
                <w:sz w:val="24"/>
                <w:szCs w:val="24"/>
              </w:rPr>
            </w:pPr>
            <w:r w:rsidRPr="002D60D8">
              <w:rPr>
                <w:rFonts w:cstheme="minorHAnsi"/>
                <w:b/>
                <w:bCs/>
                <w:sz w:val="24"/>
                <w:szCs w:val="24"/>
              </w:rPr>
              <w:t>Target Area(s):</w:t>
            </w:r>
          </w:p>
        </w:tc>
        <w:tc>
          <w:tcPr>
            <w:tcW w:w="5845" w:type="dxa"/>
          </w:tcPr>
          <w:p w14:paraId="2BC742C0" w14:textId="77777777" w:rsidR="00264946" w:rsidRPr="00264946" w:rsidRDefault="00264946" w:rsidP="00264946">
            <w:pPr>
              <w:rPr>
                <w:sz w:val="24"/>
                <w:szCs w:val="24"/>
              </w:rPr>
            </w:pPr>
            <w:r w:rsidRPr="00264946">
              <w:rPr>
                <w:sz w:val="24"/>
                <w:szCs w:val="24"/>
              </w:rPr>
              <w:t xml:space="preserve">Adams; Green; Portage; Ashland; Green Lake; Price; Barron; Iowa; Racine; Bayfield; Iron; Richland; Buffalo; Jackson; Rock; Burnett; Jefferson; Rusk; Calumet; Juneau; Sawyer; Chippewa; Kenosha; St. Croix; Clark; </w:t>
            </w:r>
            <w:proofErr w:type="spellStart"/>
            <w:r w:rsidRPr="00264946">
              <w:rPr>
                <w:sz w:val="24"/>
                <w:szCs w:val="24"/>
              </w:rPr>
              <w:t>LaCrosse</w:t>
            </w:r>
            <w:proofErr w:type="spellEnd"/>
            <w:r w:rsidRPr="00264946">
              <w:rPr>
                <w:sz w:val="24"/>
                <w:szCs w:val="24"/>
              </w:rPr>
              <w:t xml:space="preserve">; Taylor; Columbia; Lafayette; Trempealeau; Crawford; Langlade; Vernon; Dane; Lincoln; Vilas; Dodge; Marathon; Washburn; Douglas; Marquette; Walworth; Dunn; Monroe; Waupaca; Eau Claire; Onieda; Waushara; Fond du Lac; Pepin; Winnebago; Forest; Pierce; Wood; Grant; Polk counties WI </w:t>
            </w:r>
          </w:p>
          <w:p w14:paraId="55F24D09" w14:textId="77777777" w:rsidR="001B6548" w:rsidRDefault="001B6548" w:rsidP="00F93D74">
            <w:pPr>
              <w:spacing w:after="40"/>
              <w:rPr>
                <w:rFonts w:cstheme="minorHAnsi"/>
                <w:sz w:val="24"/>
                <w:szCs w:val="24"/>
              </w:rPr>
            </w:pPr>
          </w:p>
        </w:tc>
      </w:tr>
    </w:tbl>
    <w:p w14:paraId="1D22445A" w14:textId="54597A23" w:rsidR="00C4078F" w:rsidRPr="002D60D8" w:rsidRDefault="00B2218B" w:rsidP="6AC93419">
      <w:pPr>
        <w:spacing w:after="40" w:line="240" w:lineRule="auto"/>
      </w:pPr>
      <w:r w:rsidRPr="6AC93419">
        <w:rPr>
          <w:b/>
          <w:bCs/>
          <w:sz w:val="24"/>
          <w:szCs w:val="24"/>
        </w:rPr>
        <w:t>Project Summary</w:t>
      </w:r>
      <w:proofErr w:type="gramStart"/>
      <w:r w:rsidRPr="6AC93419">
        <w:rPr>
          <w:b/>
          <w:bCs/>
          <w:sz w:val="24"/>
          <w:szCs w:val="24"/>
        </w:rPr>
        <w:t>:</w:t>
      </w:r>
      <w:r w:rsidRPr="6AC93419">
        <w:t xml:space="preserve">  </w:t>
      </w:r>
      <w:r w:rsidR="00F41FAB" w:rsidRPr="6AC93419">
        <w:rPr>
          <w:sz w:val="24"/>
          <w:szCs w:val="24"/>
        </w:rPr>
        <w:t>The</w:t>
      </w:r>
      <w:proofErr w:type="gramEnd"/>
      <w:r w:rsidR="00F41FAB" w:rsidRPr="6AC93419">
        <w:rPr>
          <w:sz w:val="24"/>
          <w:szCs w:val="24"/>
        </w:rPr>
        <w:t xml:space="preserve"> purpose of this project is to d</w:t>
      </w:r>
      <w:r w:rsidR="00154227" w:rsidRPr="6AC93419">
        <w:rPr>
          <w:sz w:val="24"/>
          <w:szCs w:val="24"/>
        </w:rPr>
        <w:t>eliver workforce development services to prepare incarcerated individuals for successful transition into their communities.  </w:t>
      </w:r>
      <w:r w:rsidR="00C4078F" w:rsidRPr="6AC93419">
        <w:rPr>
          <w:sz w:val="24"/>
          <w:szCs w:val="24"/>
        </w:rPr>
        <w:t>SWWDB and 4 other workforce partners will deliver pre- and post-release career and training services to soon-to-be-released incarcerated individuals in the proposed service area to decrease recidivism and promote sustainable and life-supporting employment in driver industries in the area. </w:t>
      </w:r>
    </w:p>
    <w:p w14:paraId="0DF9E648" w14:textId="64269613" w:rsidR="00300078" w:rsidRPr="007A5005" w:rsidRDefault="00B2218B" w:rsidP="6AC93419">
      <w:pPr>
        <w:spacing w:after="40" w:line="240" w:lineRule="auto"/>
        <w:rPr>
          <w:b/>
          <w:bCs/>
          <w:color w:val="538135" w:themeColor="accent6" w:themeShade="BF"/>
          <w:sz w:val="28"/>
          <w:szCs w:val="28"/>
        </w:rPr>
      </w:pPr>
      <w:r w:rsidRPr="6AC93419">
        <w:rPr>
          <w:color w:val="000000" w:themeColor="text1"/>
          <w:sz w:val="24"/>
          <w:szCs w:val="24"/>
        </w:rPr>
        <w:t xml:space="preserve">The </w:t>
      </w:r>
      <w:r w:rsidRPr="6AC93419">
        <w:rPr>
          <w:b/>
          <w:bCs/>
          <w:color w:val="000000" w:themeColor="text1"/>
          <w:sz w:val="24"/>
          <w:szCs w:val="24"/>
        </w:rPr>
        <w:t>proposed outcomes</w:t>
      </w:r>
      <w:r w:rsidRPr="6AC93419">
        <w:rPr>
          <w:color w:val="000000" w:themeColor="text1"/>
          <w:sz w:val="24"/>
          <w:szCs w:val="24"/>
        </w:rPr>
        <w:t xml:space="preserve"> are: </w:t>
      </w:r>
      <w:r w:rsidRPr="6AC93419">
        <w:rPr>
          <w:sz w:val="24"/>
          <w:szCs w:val="24"/>
        </w:rPr>
        <w:t xml:space="preserve">55% employment rate 2nd quarter after exit; 45% employment rate 4th quarter after exit; </w:t>
      </w:r>
      <w:r w:rsidR="0027600E" w:rsidRPr="6AC93419">
        <w:rPr>
          <w:sz w:val="24"/>
          <w:szCs w:val="24"/>
        </w:rPr>
        <w:t xml:space="preserve">$5,000 </w:t>
      </w:r>
      <w:r w:rsidRPr="6AC93419">
        <w:rPr>
          <w:sz w:val="24"/>
          <w:szCs w:val="24"/>
        </w:rPr>
        <w:t xml:space="preserve">median earnings 2nd quarter after exit; 60% credential attainment; 65% measurable skill gains; and less than </w:t>
      </w:r>
      <w:r w:rsidR="00276EE3" w:rsidRPr="6AC93419">
        <w:rPr>
          <w:sz w:val="24"/>
          <w:szCs w:val="24"/>
        </w:rPr>
        <w:t>16.5</w:t>
      </w:r>
      <w:r w:rsidRPr="6AC93419">
        <w:rPr>
          <w:sz w:val="24"/>
          <w:szCs w:val="24"/>
        </w:rPr>
        <w:t>% recidivism.</w:t>
      </w:r>
      <w:r w:rsidR="00276EE3" w:rsidRPr="6AC93419">
        <w:rPr>
          <w:sz w:val="24"/>
          <w:szCs w:val="24"/>
        </w:rPr>
        <w:t xml:space="preserve">  In addition to the WIOA Primary Indicators of Performance goals and the REO-specific performance goals, Southwest Wisconsin WDB has proposed additional outcomes: </w:t>
      </w:r>
      <w:r w:rsidR="00BA352C" w:rsidRPr="6AC93419">
        <w:rPr>
          <w:sz w:val="24"/>
          <w:szCs w:val="24"/>
        </w:rPr>
        <w:t xml:space="preserve">10% of participants enrolled in education/training; </w:t>
      </w:r>
      <w:proofErr w:type="gramStart"/>
      <w:r w:rsidR="00BA352C" w:rsidRPr="6AC93419">
        <w:rPr>
          <w:sz w:val="24"/>
          <w:szCs w:val="24"/>
        </w:rPr>
        <w:t>and,</w:t>
      </w:r>
      <w:proofErr w:type="gramEnd"/>
      <w:r w:rsidR="00BA352C" w:rsidRPr="6AC93419">
        <w:rPr>
          <w:sz w:val="24"/>
          <w:szCs w:val="24"/>
        </w:rPr>
        <w:t xml:space="preserve"> 50% of participants co-enrolled in another program.</w:t>
      </w:r>
    </w:p>
    <w:p w14:paraId="44471D2A" w14:textId="77777777" w:rsidR="00CF1832" w:rsidRDefault="00CF1832">
      <w:pPr>
        <w:rPr>
          <w:b/>
          <w:bCs/>
          <w:color w:val="538135" w:themeColor="accent6" w:themeShade="BF"/>
          <w:sz w:val="28"/>
          <w:szCs w:val="28"/>
        </w:rPr>
      </w:pPr>
      <w:r>
        <w:rPr>
          <w:b/>
          <w:bCs/>
          <w:color w:val="538135" w:themeColor="accent6" w:themeShade="BF"/>
          <w:sz w:val="28"/>
          <w:szCs w:val="28"/>
        </w:rPr>
        <w:br w:type="page"/>
      </w:r>
    </w:p>
    <w:p w14:paraId="31423592" w14:textId="381622F0" w:rsidR="00300078" w:rsidRPr="00DB7DA4" w:rsidRDefault="007A5005" w:rsidP="00DB7DA4">
      <w:pPr>
        <w:pStyle w:val="Heading1"/>
        <w:rPr>
          <w:b/>
          <w:bCs/>
          <w:color w:val="538135" w:themeColor="accent6" w:themeShade="BF"/>
          <w:sz w:val="28"/>
          <w:szCs w:val="28"/>
        </w:rPr>
      </w:pPr>
      <w:bookmarkStart w:id="16" w:name="_Toc219121433"/>
      <w:r w:rsidRPr="00DB7DA4">
        <w:rPr>
          <w:b/>
          <w:bCs/>
          <w:color w:val="538135" w:themeColor="accent6" w:themeShade="BF"/>
          <w:sz w:val="28"/>
          <w:szCs w:val="28"/>
        </w:rPr>
        <w:lastRenderedPageBreak/>
        <w:t>The Ridge Project, Inc.</w:t>
      </w:r>
      <w:bookmarkEnd w:id="16"/>
    </w:p>
    <w:p w14:paraId="540DDF8E" w14:textId="49F8A54E" w:rsidR="00300078" w:rsidRPr="002D60D8" w:rsidRDefault="007A5005" w:rsidP="00300078">
      <w:pPr>
        <w:spacing w:after="40" w:line="240" w:lineRule="auto"/>
        <w:rPr>
          <w:rFonts w:cstheme="minorHAnsi"/>
          <w:sz w:val="24"/>
          <w:szCs w:val="24"/>
        </w:rPr>
      </w:pPr>
      <w:r w:rsidRPr="002D60D8">
        <w:rPr>
          <w:rFonts w:cstheme="minorHAnsi"/>
          <w:color w:val="2F5496" w:themeColor="accent1" w:themeShade="BF"/>
          <w:sz w:val="24"/>
          <w:szCs w:val="24"/>
        </w:rPr>
        <w:t>McClure, OH</w:t>
      </w:r>
    </w:p>
    <w:p w14:paraId="3346294C" w14:textId="77777777" w:rsidR="00300078" w:rsidRDefault="00300078" w:rsidP="00300078">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1B6548" w:rsidRPr="0021096F" w14:paraId="16C2D24C" w14:textId="77777777" w:rsidTr="00F93D74">
        <w:tc>
          <w:tcPr>
            <w:tcW w:w="3505" w:type="dxa"/>
          </w:tcPr>
          <w:p w14:paraId="56C21A29" w14:textId="77777777" w:rsidR="001B6548" w:rsidRPr="0021096F" w:rsidRDefault="001B6548" w:rsidP="00F93D74">
            <w:pPr>
              <w:spacing w:after="40"/>
              <w:rPr>
                <w:rFonts w:cstheme="minorHAnsi"/>
                <w:sz w:val="24"/>
                <w:szCs w:val="24"/>
              </w:rPr>
            </w:pPr>
            <w:r w:rsidRPr="0021096F">
              <w:rPr>
                <w:rFonts w:cstheme="minorHAnsi"/>
                <w:b/>
                <w:bCs/>
                <w:sz w:val="24"/>
                <w:szCs w:val="24"/>
              </w:rPr>
              <w:t>Award Amount:</w:t>
            </w:r>
          </w:p>
        </w:tc>
        <w:tc>
          <w:tcPr>
            <w:tcW w:w="5845" w:type="dxa"/>
          </w:tcPr>
          <w:p w14:paraId="6F7280C4" w14:textId="77777777" w:rsidR="001B6548" w:rsidRPr="0021096F" w:rsidRDefault="001B6548" w:rsidP="00F93D74">
            <w:pPr>
              <w:spacing w:after="40"/>
              <w:rPr>
                <w:rFonts w:cstheme="minorHAnsi"/>
                <w:sz w:val="24"/>
                <w:szCs w:val="24"/>
              </w:rPr>
            </w:pPr>
            <w:r w:rsidRPr="0021096F">
              <w:rPr>
                <w:rFonts w:cstheme="minorHAnsi"/>
                <w:sz w:val="24"/>
                <w:szCs w:val="24"/>
              </w:rPr>
              <w:t>$4,000,000</w:t>
            </w:r>
          </w:p>
        </w:tc>
      </w:tr>
      <w:tr w:rsidR="001B6548" w:rsidRPr="0021096F" w14:paraId="48120526" w14:textId="77777777" w:rsidTr="00F93D74">
        <w:tc>
          <w:tcPr>
            <w:tcW w:w="3505" w:type="dxa"/>
          </w:tcPr>
          <w:p w14:paraId="4B0A6116" w14:textId="77777777" w:rsidR="001B6548" w:rsidRPr="0021096F" w:rsidRDefault="001B6548" w:rsidP="00F93D74">
            <w:pPr>
              <w:spacing w:after="40"/>
              <w:rPr>
                <w:rFonts w:cstheme="minorHAnsi"/>
                <w:sz w:val="24"/>
                <w:szCs w:val="24"/>
              </w:rPr>
            </w:pPr>
            <w:r w:rsidRPr="0021096F">
              <w:rPr>
                <w:rFonts w:cstheme="minorHAnsi"/>
                <w:b/>
                <w:bCs/>
                <w:sz w:val="24"/>
                <w:szCs w:val="24"/>
              </w:rPr>
              <w:t>Applicant Type:</w:t>
            </w:r>
          </w:p>
        </w:tc>
        <w:tc>
          <w:tcPr>
            <w:tcW w:w="5845" w:type="dxa"/>
          </w:tcPr>
          <w:p w14:paraId="683B5AA9" w14:textId="17C3875A" w:rsidR="001B6548" w:rsidRPr="0021096F" w:rsidRDefault="00E25543" w:rsidP="00F93D74">
            <w:pPr>
              <w:spacing w:after="40"/>
              <w:rPr>
                <w:rFonts w:cstheme="minorHAnsi"/>
                <w:sz w:val="24"/>
                <w:szCs w:val="24"/>
              </w:rPr>
            </w:pPr>
            <w:r w:rsidRPr="0021096F">
              <w:rPr>
                <w:rFonts w:cstheme="minorHAnsi"/>
                <w:sz w:val="24"/>
                <w:szCs w:val="24"/>
              </w:rPr>
              <w:t>Direct</w:t>
            </w:r>
          </w:p>
        </w:tc>
      </w:tr>
      <w:tr w:rsidR="001B6548" w:rsidRPr="0021096F" w14:paraId="0837FE73" w14:textId="77777777" w:rsidTr="00F93D74">
        <w:tc>
          <w:tcPr>
            <w:tcW w:w="3505" w:type="dxa"/>
          </w:tcPr>
          <w:p w14:paraId="765C5107" w14:textId="77777777" w:rsidR="001B6548" w:rsidRPr="0021096F" w:rsidRDefault="001B6548" w:rsidP="00F93D74">
            <w:pPr>
              <w:spacing w:after="40"/>
              <w:rPr>
                <w:rFonts w:cstheme="minorHAnsi"/>
                <w:sz w:val="24"/>
                <w:szCs w:val="24"/>
              </w:rPr>
            </w:pPr>
            <w:r w:rsidRPr="0021096F">
              <w:rPr>
                <w:rFonts w:cstheme="minorHAnsi"/>
                <w:b/>
                <w:bCs/>
                <w:sz w:val="24"/>
                <w:szCs w:val="24"/>
              </w:rPr>
              <w:t>Participant Enrollment Goal:</w:t>
            </w:r>
          </w:p>
        </w:tc>
        <w:tc>
          <w:tcPr>
            <w:tcW w:w="5845" w:type="dxa"/>
          </w:tcPr>
          <w:p w14:paraId="4E9D6BA8" w14:textId="77777777" w:rsidR="001B6548" w:rsidRPr="0021096F" w:rsidRDefault="001B6548" w:rsidP="00F93D74">
            <w:pPr>
              <w:spacing w:after="40"/>
              <w:rPr>
                <w:rFonts w:cstheme="minorHAnsi"/>
                <w:sz w:val="24"/>
                <w:szCs w:val="24"/>
              </w:rPr>
            </w:pPr>
            <w:r w:rsidRPr="0021096F">
              <w:rPr>
                <w:rFonts w:cstheme="minorHAnsi"/>
                <w:sz w:val="24"/>
                <w:szCs w:val="24"/>
              </w:rPr>
              <w:t>400</w:t>
            </w:r>
          </w:p>
        </w:tc>
      </w:tr>
      <w:tr w:rsidR="001B6548" w:rsidRPr="0021096F" w14:paraId="4F6EB376" w14:textId="77777777" w:rsidTr="00F93D74">
        <w:tc>
          <w:tcPr>
            <w:tcW w:w="3505" w:type="dxa"/>
          </w:tcPr>
          <w:p w14:paraId="67294343" w14:textId="77777777" w:rsidR="001B6548" w:rsidRPr="0021096F" w:rsidRDefault="001B6548" w:rsidP="00F93D74">
            <w:pPr>
              <w:spacing w:after="40"/>
              <w:rPr>
                <w:rFonts w:cstheme="minorHAnsi"/>
                <w:sz w:val="24"/>
                <w:szCs w:val="24"/>
              </w:rPr>
            </w:pPr>
            <w:r w:rsidRPr="0021096F">
              <w:rPr>
                <w:rFonts w:cstheme="minorHAnsi"/>
                <w:b/>
                <w:bCs/>
                <w:sz w:val="24"/>
                <w:szCs w:val="24"/>
              </w:rPr>
              <w:t>Mandatory Partners:</w:t>
            </w:r>
          </w:p>
        </w:tc>
        <w:tc>
          <w:tcPr>
            <w:tcW w:w="5845" w:type="dxa"/>
          </w:tcPr>
          <w:p w14:paraId="3506581A" w14:textId="68C39581" w:rsidR="001B6548" w:rsidRPr="0021096F" w:rsidRDefault="00B37BD9" w:rsidP="00F93D74">
            <w:pPr>
              <w:spacing w:after="40"/>
              <w:rPr>
                <w:rFonts w:cstheme="minorHAnsi"/>
                <w:sz w:val="24"/>
                <w:szCs w:val="24"/>
              </w:rPr>
            </w:pPr>
            <w:r w:rsidRPr="0021096F">
              <w:rPr>
                <w:rFonts w:cstheme="minorHAnsi"/>
                <w:sz w:val="24"/>
                <w:szCs w:val="24"/>
              </w:rPr>
              <w:t>Toledo Correctional Institution</w:t>
            </w:r>
            <w:r w:rsidR="007746A2" w:rsidRPr="0021096F">
              <w:rPr>
                <w:rFonts w:cstheme="minorHAnsi"/>
                <w:sz w:val="24"/>
                <w:szCs w:val="24"/>
              </w:rPr>
              <w:t>; North Central Correctional Complex; Grafton Correctional Institution and Grafton Reint</w:t>
            </w:r>
            <w:r w:rsidR="003829D1" w:rsidRPr="0021096F">
              <w:rPr>
                <w:rFonts w:cstheme="minorHAnsi"/>
                <w:sz w:val="24"/>
                <w:szCs w:val="24"/>
              </w:rPr>
              <w:t xml:space="preserve">egration Center; CROSSWAEH Community Based Correctional Facility; </w:t>
            </w:r>
            <w:r w:rsidR="00A36121" w:rsidRPr="0021096F">
              <w:rPr>
                <w:rFonts w:cstheme="minorHAnsi"/>
                <w:sz w:val="24"/>
                <w:szCs w:val="24"/>
              </w:rPr>
              <w:t>Northwest Community Correction Center</w:t>
            </w:r>
          </w:p>
        </w:tc>
      </w:tr>
      <w:tr w:rsidR="001B6548" w:rsidRPr="0021096F" w14:paraId="377EDDB0" w14:textId="77777777" w:rsidTr="00F93D74">
        <w:tc>
          <w:tcPr>
            <w:tcW w:w="3505" w:type="dxa"/>
          </w:tcPr>
          <w:p w14:paraId="64E7A3C9" w14:textId="77777777" w:rsidR="001B6548" w:rsidRPr="0021096F" w:rsidRDefault="001B6548" w:rsidP="00F93D74">
            <w:pPr>
              <w:spacing w:after="40"/>
              <w:rPr>
                <w:rFonts w:cstheme="minorHAnsi"/>
                <w:sz w:val="24"/>
                <w:szCs w:val="24"/>
              </w:rPr>
            </w:pPr>
            <w:r w:rsidRPr="0021096F">
              <w:rPr>
                <w:rFonts w:cstheme="minorHAnsi"/>
                <w:b/>
                <w:bCs/>
                <w:sz w:val="24"/>
                <w:szCs w:val="24"/>
              </w:rPr>
              <w:t>Target Area(s):</w:t>
            </w:r>
          </w:p>
        </w:tc>
        <w:tc>
          <w:tcPr>
            <w:tcW w:w="5845" w:type="dxa"/>
          </w:tcPr>
          <w:p w14:paraId="258341C5" w14:textId="6DFB63DB" w:rsidR="001B6548" w:rsidRPr="0021096F" w:rsidRDefault="0040128E" w:rsidP="00F93D74">
            <w:pPr>
              <w:spacing w:after="40"/>
              <w:rPr>
                <w:rFonts w:cstheme="minorHAnsi"/>
                <w:sz w:val="24"/>
                <w:szCs w:val="24"/>
              </w:rPr>
            </w:pPr>
            <w:r w:rsidRPr="0021096F">
              <w:rPr>
                <w:rFonts w:cstheme="minorHAnsi"/>
                <w:sz w:val="24"/>
                <w:szCs w:val="24"/>
              </w:rPr>
              <w:t>Williams; Fulton; Lucas; Henry; Wood; Han</w:t>
            </w:r>
            <w:r w:rsidR="00FC4F44" w:rsidRPr="0021096F">
              <w:rPr>
                <w:rFonts w:cstheme="minorHAnsi"/>
                <w:sz w:val="24"/>
                <w:szCs w:val="24"/>
              </w:rPr>
              <w:t>cock; Seneca; Crawford; Richland Counties OH</w:t>
            </w:r>
            <w:r w:rsidR="0032050A" w:rsidRPr="0021096F">
              <w:rPr>
                <w:rFonts w:cstheme="minorHAnsi"/>
                <w:sz w:val="24"/>
                <w:szCs w:val="24"/>
              </w:rPr>
              <w:t>.</w:t>
            </w:r>
          </w:p>
        </w:tc>
      </w:tr>
    </w:tbl>
    <w:p w14:paraId="13D6D59A" w14:textId="77777777" w:rsidR="007A5005" w:rsidRPr="0021096F" w:rsidRDefault="007A5005" w:rsidP="007A5005">
      <w:pPr>
        <w:spacing w:after="40" w:line="240" w:lineRule="auto"/>
        <w:rPr>
          <w:rFonts w:cstheme="minorHAnsi"/>
          <w:sz w:val="24"/>
          <w:szCs w:val="24"/>
        </w:rPr>
      </w:pPr>
    </w:p>
    <w:p w14:paraId="3C509EAD" w14:textId="19F04A25" w:rsidR="00E03A6A" w:rsidRPr="0021096F" w:rsidRDefault="007A5005" w:rsidP="00E03A6A">
      <w:pPr>
        <w:spacing w:after="40" w:line="240" w:lineRule="auto"/>
        <w:rPr>
          <w:rFonts w:cstheme="minorHAnsi"/>
          <w:sz w:val="24"/>
          <w:szCs w:val="24"/>
        </w:rPr>
      </w:pPr>
      <w:r w:rsidRPr="0021096F">
        <w:rPr>
          <w:rFonts w:cstheme="minorHAnsi"/>
          <w:b/>
          <w:bCs/>
          <w:sz w:val="24"/>
          <w:szCs w:val="24"/>
        </w:rPr>
        <w:t>Project Summary</w:t>
      </w:r>
      <w:proofErr w:type="gramStart"/>
      <w:r w:rsidRPr="0021096F">
        <w:rPr>
          <w:rFonts w:cstheme="minorHAnsi"/>
          <w:b/>
          <w:bCs/>
          <w:sz w:val="24"/>
          <w:szCs w:val="24"/>
        </w:rPr>
        <w:t>:</w:t>
      </w:r>
      <w:r w:rsidRPr="0021096F">
        <w:rPr>
          <w:rFonts w:cstheme="minorHAnsi"/>
          <w:sz w:val="24"/>
          <w:szCs w:val="24"/>
        </w:rPr>
        <w:t xml:space="preserve">  </w:t>
      </w:r>
      <w:r w:rsidR="00F41FAB" w:rsidRPr="002D60D8">
        <w:rPr>
          <w:rFonts w:cstheme="minorHAnsi"/>
          <w:sz w:val="24"/>
          <w:szCs w:val="24"/>
        </w:rPr>
        <w:t>The</w:t>
      </w:r>
      <w:proofErr w:type="gramEnd"/>
      <w:r w:rsidR="00F41FAB" w:rsidRPr="002D60D8">
        <w:rPr>
          <w:rFonts w:cstheme="minorHAnsi"/>
          <w:sz w:val="24"/>
          <w:szCs w:val="24"/>
        </w:rPr>
        <w:t xml:space="preserve"> purpose of this project is </w:t>
      </w:r>
      <w:r w:rsidR="00F41FAB">
        <w:rPr>
          <w:rFonts w:cstheme="minorHAnsi"/>
          <w:sz w:val="24"/>
          <w:szCs w:val="24"/>
        </w:rPr>
        <w:t xml:space="preserve">to </w:t>
      </w:r>
      <w:r w:rsidR="0032050A" w:rsidRPr="0021096F">
        <w:rPr>
          <w:rFonts w:cstheme="minorHAnsi"/>
          <w:sz w:val="24"/>
          <w:szCs w:val="24"/>
        </w:rPr>
        <w:t xml:space="preserve">serve 400 individuals incarcerated in any of the </w:t>
      </w:r>
      <w:r w:rsidR="00DD387B" w:rsidRPr="0021096F">
        <w:rPr>
          <w:rFonts w:cstheme="minorHAnsi"/>
          <w:sz w:val="24"/>
          <w:szCs w:val="24"/>
        </w:rPr>
        <w:t>six</w:t>
      </w:r>
      <w:r w:rsidR="0032050A" w:rsidRPr="0021096F">
        <w:rPr>
          <w:rFonts w:cstheme="minorHAnsi"/>
          <w:sz w:val="24"/>
          <w:szCs w:val="24"/>
        </w:rPr>
        <w:t xml:space="preserve"> </w:t>
      </w:r>
      <w:r w:rsidR="00DD387B" w:rsidRPr="0021096F">
        <w:rPr>
          <w:rFonts w:cstheme="minorHAnsi"/>
          <w:sz w:val="24"/>
          <w:szCs w:val="24"/>
        </w:rPr>
        <w:t>c</w:t>
      </w:r>
      <w:r w:rsidR="0032050A" w:rsidRPr="0021096F">
        <w:rPr>
          <w:rFonts w:cstheme="minorHAnsi"/>
          <w:sz w:val="24"/>
          <w:szCs w:val="24"/>
        </w:rPr>
        <w:t>orrec</w:t>
      </w:r>
      <w:r w:rsidR="00DD387B" w:rsidRPr="0021096F">
        <w:rPr>
          <w:rFonts w:cstheme="minorHAnsi"/>
          <w:sz w:val="24"/>
          <w:szCs w:val="24"/>
        </w:rPr>
        <w:t>tional s</w:t>
      </w:r>
      <w:r w:rsidR="0032050A" w:rsidRPr="0021096F">
        <w:rPr>
          <w:rFonts w:cstheme="minorHAnsi"/>
          <w:sz w:val="24"/>
          <w:szCs w:val="24"/>
        </w:rPr>
        <w:t>ites listed above who are within 20 to 270 days of release and returning home</w:t>
      </w:r>
      <w:r w:rsidR="00E03A6A" w:rsidRPr="0021096F">
        <w:rPr>
          <w:rFonts w:cstheme="minorHAnsi"/>
          <w:sz w:val="24"/>
          <w:szCs w:val="24"/>
        </w:rPr>
        <w:t>.</w:t>
      </w:r>
    </w:p>
    <w:p w14:paraId="77E737E5" w14:textId="77777777" w:rsidR="00E03A6A" w:rsidRPr="0021096F" w:rsidRDefault="00E03A6A" w:rsidP="00E03A6A">
      <w:pPr>
        <w:spacing w:after="40" w:line="240" w:lineRule="auto"/>
        <w:rPr>
          <w:rFonts w:cstheme="minorHAnsi"/>
          <w:sz w:val="24"/>
          <w:szCs w:val="24"/>
        </w:rPr>
      </w:pPr>
    </w:p>
    <w:p w14:paraId="64D5A4BE" w14:textId="78B898DD" w:rsidR="00E03A6A" w:rsidRPr="0021096F" w:rsidRDefault="00E03A6A" w:rsidP="007A5005">
      <w:pPr>
        <w:spacing w:after="40" w:line="240" w:lineRule="auto"/>
        <w:rPr>
          <w:rFonts w:cstheme="minorHAnsi"/>
          <w:sz w:val="24"/>
          <w:szCs w:val="24"/>
        </w:rPr>
      </w:pPr>
      <w:r w:rsidRPr="0021096F">
        <w:rPr>
          <w:rFonts w:cstheme="minorHAnsi"/>
          <w:sz w:val="24"/>
          <w:szCs w:val="24"/>
        </w:rPr>
        <w:t>After participants are recruited and enrolled, they will take the TYRO Leadership program, which incorporates numerous evidence</w:t>
      </w:r>
      <w:r w:rsidR="00D771A6" w:rsidRPr="0021096F">
        <w:rPr>
          <w:rFonts w:cstheme="minorHAnsi"/>
          <w:sz w:val="24"/>
          <w:szCs w:val="24"/>
        </w:rPr>
        <w:t xml:space="preserve"> </w:t>
      </w:r>
      <w:r w:rsidRPr="0021096F">
        <w:rPr>
          <w:rFonts w:cstheme="minorHAnsi"/>
          <w:sz w:val="24"/>
          <w:szCs w:val="24"/>
        </w:rPr>
        <w:t>based reentry practices, including cognitive-behavioral interventions designed to address criminal thinking patterns and other criminogenic needs that are associated with the risk of reoffending (such as resisting negative peer pressure, avoiding negative peer groups, and strengthening relationships with prosocial family members). After completion of TYRO, participants will complete an Individual Development Plan (IDP) that identifies their goals, strengths, reentry and employment barriers, action steps to help them achieve their goals, overcome barriers, assistance needed from their RIDGE Case Manager or other organizations (e.g., legal, housing, mental health, substance abuse, etc.). When needed, their RIDGE Case Manag</w:t>
      </w:r>
      <w:r w:rsidR="00612235" w:rsidRPr="0021096F">
        <w:rPr>
          <w:rFonts w:cstheme="minorHAnsi"/>
          <w:sz w:val="24"/>
          <w:szCs w:val="24"/>
        </w:rPr>
        <w:t xml:space="preserve">er will refer them to Ohio Means Jobs for career interest and/or aptitude assessments. </w:t>
      </w:r>
    </w:p>
    <w:p w14:paraId="620B25F5" w14:textId="77777777" w:rsidR="00E03A6A" w:rsidRPr="0021096F" w:rsidRDefault="00E03A6A" w:rsidP="007A5005">
      <w:pPr>
        <w:spacing w:after="40" w:line="240" w:lineRule="auto"/>
        <w:rPr>
          <w:rFonts w:cstheme="minorHAnsi"/>
          <w:sz w:val="24"/>
          <w:szCs w:val="24"/>
        </w:rPr>
      </w:pPr>
    </w:p>
    <w:p w14:paraId="15614A37" w14:textId="731E074E" w:rsidR="007A5005" w:rsidRPr="0021096F" w:rsidRDefault="007A5005" w:rsidP="007A5005">
      <w:pPr>
        <w:spacing w:after="40" w:line="240" w:lineRule="auto"/>
        <w:rPr>
          <w:rFonts w:cstheme="minorHAnsi"/>
          <w:sz w:val="24"/>
          <w:szCs w:val="24"/>
        </w:rPr>
      </w:pPr>
      <w:r w:rsidRPr="0021096F">
        <w:rPr>
          <w:rFonts w:cstheme="minorHAnsi"/>
          <w:color w:val="000000" w:themeColor="text1"/>
          <w:sz w:val="24"/>
          <w:szCs w:val="24"/>
        </w:rPr>
        <w:t xml:space="preserve">The </w:t>
      </w:r>
      <w:r w:rsidRPr="0021096F">
        <w:rPr>
          <w:rFonts w:cstheme="minorHAnsi"/>
          <w:b/>
          <w:bCs/>
          <w:color w:val="000000" w:themeColor="text1"/>
          <w:sz w:val="24"/>
          <w:szCs w:val="24"/>
        </w:rPr>
        <w:t>proposed outcomes</w:t>
      </w:r>
      <w:r w:rsidRPr="0021096F">
        <w:rPr>
          <w:rFonts w:cstheme="minorHAnsi"/>
          <w:color w:val="000000" w:themeColor="text1"/>
          <w:sz w:val="24"/>
          <w:szCs w:val="24"/>
        </w:rPr>
        <w:t xml:space="preserve"> are: </w:t>
      </w:r>
      <w:r w:rsidRPr="0021096F">
        <w:rPr>
          <w:rFonts w:cstheme="minorHAnsi"/>
          <w:sz w:val="24"/>
          <w:szCs w:val="24"/>
        </w:rPr>
        <w:t xml:space="preserve">55% employment rate 2nd quarter after exit; 45% employment rate 4th quarter after exit; </w:t>
      </w:r>
      <w:r w:rsidR="001D11F6" w:rsidRPr="0021096F">
        <w:rPr>
          <w:rFonts w:cstheme="minorHAnsi"/>
          <w:sz w:val="24"/>
          <w:szCs w:val="24"/>
        </w:rPr>
        <w:t xml:space="preserve">$6,000 </w:t>
      </w:r>
      <w:r w:rsidRPr="0021096F">
        <w:rPr>
          <w:rFonts w:cstheme="minorHAnsi"/>
          <w:sz w:val="24"/>
          <w:szCs w:val="24"/>
        </w:rPr>
        <w:t xml:space="preserve">median earnings 2nd quarter after exit; 60% credential attainment; 65% measurable skill gains; and less than </w:t>
      </w:r>
      <w:r w:rsidR="002B1EBF" w:rsidRPr="0021096F">
        <w:rPr>
          <w:rFonts w:cstheme="minorHAnsi"/>
          <w:sz w:val="24"/>
          <w:szCs w:val="24"/>
        </w:rPr>
        <w:t>12.07</w:t>
      </w:r>
      <w:r w:rsidRPr="0021096F">
        <w:rPr>
          <w:rFonts w:cstheme="minorHAnsi"/>
          <w:sz w:val="24"/>
          <w:szCs w:val="24"/>
        </w:rPr>
        <w:t>% recidivism.</w:t>
      </w:r>
    </w:p>
    <w:p w14:paraId="3B8E6927" w14:textId="77777777" w:rsidR="007A5005" w:rsidRPr="002D60D8" w:rsidRDefault="007A5005">
      <w:pPr>
        <w:rPr>
          <w:rFonts w:cstheme="minorHAnsi"/>
          <w:color w:val="538135" w:themeColor="accent6" w:themeShade="BF"/>
          <w:sz w:val="24"/>
          <w:szCs w:val="24"/>
        </w:rPr>
      </w:pPr>
      <w:r w:rsidRPr="002D60D8">
        <w:rPr>
          <w:rFonts w:cstheme="minorHAnsi"/>
          <w:color w:val="538135" w:themeColor="accent6" w:themeShade="BF"/>
          <w:sz w:val="24"/>
          <w:szCs w:val="24"/>
        </w:rPr>
        <w:br w:type="page"/>
      </w:r>
    </w:p>
    <w:p w14:paraId="07E76441" w14:textId="01AA0281" w:rsidR="00F4112F" w:rsidRPr="007A5005" w:rsidRDefault="00740302" w:rsidP="00F4112F">
      <w:pPr>
        <w:pStyle w:val="Heading1"/>
        <w:rPr>
          <w:b/>
          <w:bCs/>
          <w:color w:val="538135" w:themeColor="accent6" w:themeShade="BF"/>
          <w:sz w:val="28"/>
          <w:szCs w:val="28"/>
        </w:rPr>
      </w:pPr>
      <w:bookmarkStart w:id="17" w:name="_Toc219121434"/>
      <w:r>
        <w:rPr>
          <w:b/>
          <w:bCs/>
          <w:color w:val="538135" w:themeColor="accent6" w:themeShade="BF"/>
          <w:sz w:val="28"/>
          <w:szCs w:val="28"/>
        </w:rPr>
        <w:lastRenderedPageBreak/>
        <w:t>Washington State Department of Employment Security</w:t>
      </w:r>
      <w:bookmarkEnd w:id="17"/>
    </w:p>
    <w:p w14:paraId="52FDC28A" w14:textId="13995218" w:rsidR="00F4112F" w:rsidRPr="002D60D8" w:rsidRDefault="00740302" w:rsidP="00F4112F">
      <w:pPr>
        <w:spacing w:after="40" w:line="240" w:lineRule="auto"/>
        <w:rPr>
          <w:rFonts w:cstheme="minorHAnsi"/>
          <w:sz w:val="24"/>
          <w:szCs w:val="24"/>
        </w:rPr>
      </w:pPr>
      <w:r w:rsidRPr="002D60D8">
        <w:rPr>
          <w:rFonts w:cstheme="minorHAnsi"/>
          <w:color w:val="2F5496" w:themeColor="accent1" w:themeShade="BF"/>
          <w:sz w:val="24"/>
          <w:szCs w:val="24"/>
        </w:rPr>
        <w:t>Olympia, WA</w:t>
      </w:r>
    </w:p>
    <w:p w14:paraId="6C1D196C" w14:textId="77777777" w:rsidR="00F4112F" w:rsidRDefault="00F4112F" w:rsidP="00F4112F">
      <w:pPr>
        <w:spacing w:after="4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E25543" w14:paraId="2CD976E5" w14:textId="77777777" w:rsidTr="65287A3E">
        <w:tc>
          <w:tcPr>
            <w:tcW w:w="3505" w:type="dxa"/>
          </w:tcPr>
          <w:p w14:paraId="4BD7D144" w14:textId="77777777" w:rsidR="00E25543" w:rsidRDefault="00E25543" w:rsidP="00F93D74">
            <w:pPr>
              <w:spacing w:after="40"/>
              <w:rPr>
                <w:rFonts w:cstheme="minorHAnsi"/>
                <w:sz w:val="24"/>
                <w:szCs w:val="24"/>
              </w:rPr>
            </w:pPr>
            <w:r w:rsidRPr="002D60D8">
              <w:rPr>
                <w:rFonts w:cstheme="minorHAnsi"/>
                <w:b/>
                <w:bCs/>
                <w:sz w:val="24"/>
                <w:szCs w:val="24"/>
              </w:rPr>
              <w:t>Award Amount:</w:t>
            </w:r>
          </w:p>
        </w:tc>
        <w:tc>
          <w:tcPr>
            <w:tcW w:w="5845" w:type="dxa"/>
          </w:tcPr>
          <w:p w14:paraId="3183EAF5" w14:textId="57383105" w:rsidR="00E25543" w:rsidRDefault="00E25543" w:rsidP="1E9DEE2D">
            <w:pPr>
              <w:spacing w:after="40"/>
              <w:rPr>
                <w:sz w:val="24"/>
                <w:szCs w:val="24"/>
              </w:rPr>
            </w:pPr>
            <w:r w:rsidRPr="2432D56D">
              <w:rPr>
                <w:sz w:val="24"/>
                <w:szCs w:val="24"/>
              </w:rPr>
              <w:t>$</w:t>
            </w:r>
            <w:r w:rsidR="38EC74F0" w:rsidRPr="2432D56D">
              <w:rPr>
                <w:sz w:val="24"/>
                <w:szCs w:val="24"/>
              </w:rPr>
              <w:t>2,999,999</w:t>
            </w:r>
          </w:p>
        </w:tc>
      </w:tr>
      <w:tr w:rsidR="00E25543" w14:paraId="0AFCFE31" w14:textId="77777777" w:rsidTr="65287A3E">
        <w:tc>
          <w:tcPr>
            <w:tcW w:w="3505" w:type="dxa"/>
          </w:tcPr>
          <w:p w14:paraId="2DB30A61" w14:textId="77777777" w:rsidR="00E25543" w:rsidRDefault="00E25543" w:rsidP="00F93D74">
            <w:pPr>
              <w:spacing w:after="40"/>
              <w:rPr>
                <w:rFonts w:cstheme="minorHAnsi"/>
                <w:sz w:val="24"/>
                <w:szCs w:val="24"/>
              </w:rPr>
            </w:pPr>
            <w:r w:rsidRPr="002D60D8">
              <w:rPr>
                <w:rFonts w:cstheme="minorHAnsi"/>
                <w:b/>
                <w:bCs/>
                <w:sz w:val="24"/>
                <w:szCs w:val="24"/>
              </w:rPr>
              <w:t>Applicant Type:</w:t>
            </w:r>
          </w:p>
        </w:tc>
        <w:tc>
          <w:tcPr>
            <w:tcW w:w="5845" w:type="dxa"/>
          </w:tcPr>
          <w:p w14:paraId="48A20740" w14:textId="45221BED" w:rsidR="00E25543" w:rsidRDefault="00E25543" w:rsidP="00F93D74">
            <w:pPr>
              <w:spacing w:after="40"/>
              <w:rPr>
                <w:rFonts w:cstheme="minorHAnsi"/>
                <w:sz w:val="24"/>
                <w:szCs w:val="24"/>
              </w:rPr>
            </w:pPr>
            <w:r>
              <w:rPr>
                <w:rFonts w:cstheme="minorHAnsi"/>
                <w:sz w:val="24"/>
                <w:szCs w:val="24"/>
              </w:rPr>
              <w:t>Direct</w:t>
            </w:r>
          </w:p>
        </w:tc>
      </w:tr>
      <w:tr w:rsidR="00E25543" w14:paraId="695DE5BA" w14:textId="77777777" w:rsidTr="65287A3E">
        <w:tc>
          <w:tcPr>
            <w:tcW w:w="3505" w:type="dxa"/>
          </w:tcPr>
          <w:p w14:paraId="26B04C68" w14:textId="77777777" w:rsidR="00E25543" w:rsidRDefault="00E25543" w:rsidP="00F93D74">
            <w:pPr>
              <w:spacing w:after="40"/>
              <w:rPr>
                <w:rFonts w:cstheme="minorHAnsi"/>
                <w:sz w:val="24"/>
                <w:szCs w:val="24"/>
              </w:rPr>
            </w:pPr>
            <w:r w:rsidRPr="002D60D8">
              <w:rPr>
                <w:rFonts w:cstheme="minorHAnsi"/>
                <w:b/>
                <w:bCs/>
                <w:sz w:val="24"/>
                <w:szCs w:val="24"/>
              </w:rPr>
              <w:t>Participant Enrollment Goal:</w:t>
            </w:r>
          </w:p>
        </w:tc>
        <w:tc>
          <w:tcPr>
            <w:tcW w:w="5845" w:type="dxa"/>
          </w:tcPr>
          <w:p w14:paraId="54700ADF" w14:textId="03F6B5C7" w:rsidR="00E25543" w:rsidRDefault="45346D03" w:rsidP="2679B396">
            <w:pPr>
              <w:spacing w:after="40"/>
              <w:rPr>
                <w:sz w:val="24"/>
                <w:szCs w:val="24"/>
              </w:rPr>
            </w:pPr>
            <w:r w:rsidRPr="2679B396">
              <w:rPr>
                <w:sz w:val="24"/>
                <w:szCs w:val="24"/>
              </w:rPr>
              <w:t>300</w:t>
            </w:r>
          </w:p>
        </w:tc>
      </w:tr>
      <w:tr w:rsidR="00E25543" w14:paraId="0D925AD2" w14:textId="77777777" w:rsidTr="65287A3E">
        <w:tc>
          <w:tcPr>
            <w:tcW w:w="3505" w:type="dxa"/>
          </w:tcPr>
          <w:p w14:paraId="5242ECCE" w14:textId="77777777" w:rsidR="00E25543" w:rsidRDefault="00E25543" w:rsidP="00F93D74">
            <w:pPr>
              <w:spacing w:after="40"/>
              <w:rPr>
                <w:rFonts w:cstheme="minorHAnsi"/>
                <w:sz w:val="24"/>
                <w:szCs w:val="24"/>
              </w:rPr>
            </w:pPr>
            <w:r w:rsidRPr="002D60D8">
              <w:rPr>
                <w:rFonts w:cstheme="minorHAnsi"/>
                <w:b/>
                <w:bCs/>
                <w:sz w:val="24"/>
                <w:szCs w:val="24"/>
              </w:rPr>
              <w:t>Mandatory Partners:</w:t>
            </w:r>
          </w:p>
        </w:tc>
        <w:tc>
          <w:tcPr>
            <w:tcW w:w="5845" w:type="dxa"/>
          </w:tcPr>
          <w:p w14:paraId="6C838BAD" w14:textId="65308DB7" w:rsidR="00E25543" w:rsidRDefault="721E6053" w:rsidP="65287A3E">
            <w:pPr>
              <w:spacing w:after="40"/>
              <w:rPr>
                <w:sz w:val="24"/>
                <w:szCs w:val="24"/>
              </w:rPr>
            </w:pPr>
            <w:r w:rsidRPr="65287A3E">
              <w:rPr>
                <w:sz w:val="24"/>
                <w:szCs w:val="24"/>
              </w:rPr>
              <w:t>Peninsula Reentry Center; Kitsap County Jail; Tri-Cities Reentry Center; Franklin County Jail</w:t>
            </w:r>
          </w:p>
        </w:tc>
      </w:tr>
      <w:tr w:rsidR="00E25543" w14:paraId="20E0DB1C" w14:textId="77777777" w:rsidTr="65287A3E">
        <w:tc>
          <w:tcPr>
            <w:tcW w:w="3505" w:type="dxa"/>
          </w:tcPr>
          <w:p w14:paraId="42B2DE37" w14:textId="77777777" w:rsidR="00E25543" w:rsidRDefault="00E25543" w:rsidP="00F93D74">
            <w:pPr>
              <w:spacing w:after="40"/>
              <w:rPr>
                <w:rFonts w:cstheme="minorHAnsi"/>
                <w:sz w:val="24"/>
                <w:szCs w:val="24"/>
              </w:rPr>
            </w:pPr>
            <w:r w:rsidRPr="002D60D8">
              <w:rPr>
                <w:rFonts w:cstheme="minorHAnsi"/>
                <w:b/>
                <w:bCs/>
                <w:sz w:val="24"/>
                <w:szCs w:val="24"/>
              </w:rPr>
              <w:t>Target Area(s):</w:t>
            </w:r>
          </w:p>
        </w:tc>
        <w:tc>
          <w:tcPr>
            <w:tcW w:w="5845" w:type="dxa"/>
          </w:tcPr>
          <w:p w14:paraId="6303B919" w14:textId="0A71A4FD" w:rsidR="00E25543" w:rsidRDefault="54ACD2E3" w:rsidP="65287A3E">
            <w:pPr>
              <w:spacing w:after="40"/>
              <w:rPr>
                <w:sz w:val="24"/>
                <w:szCs w:val="24"/>
              </w:rPr>
            </w:pPr>
            <w:r w:rsidRPr="65287A3E">
              <w:rPr>
                <w:sz w:val="24"/>
                <w:szCs w:val="24"/>
              </w:rPr>
              <w:t>Kitap and Franklin Counties, WA</w:t>
            </w:r>
          </w:p>
        </w:tc>
      </w:tr>
    </w:tbl>
    <w:p w14:paraId="047A211A" w14:textId="77777777" w:rsidR="00F4112F" w:rsidRPr="002D60D8" w:rsidRDefault="00F4112F" w:rsidP="00F4112F">
      <w:pPr>
        <w:spacing w:after="40" w:line="240" w:lineRule="auto"/>
        <w:rPr>
          <w:rFonts w:cstheme="minorHAnsi"/>
          <w:sz w:val="24"/>
          <w:szCs w:val="24"/>
        </w:rPr>
      </w:pPr>
    </w:p>
    <w:p w14:paraId="5C54A85A" w14:textId="02C7038F" w:rsidR="00F4112F" w:rsidRPr="002D60D8" w:rsidRDefault="00F4112F" w:rsidP="65287A3E">
      <w:pPr>
        <w:spacing w:after="40" w:line="240" w:lineRule="auto"/>
        <w:rPr>
          <w:sz w:val="24"/>
          <w:szCs w:val="24"/>
        </w:rPr>
      </w:pPr>
      <w:r w:rsidRPr="65287A3E">
        <w:rPr>
          <w:b/>
          <w:bCs/>
          <w:sz w:val="24"/>
          <w:szCs w:val="24"/>
        </w:rPr>
        <w:t>Project Summary</w:t>
      </w:r>
      <w:proofErr w:type="gramStart"/>
      <w:r w:rsidRPr="65287A3E">
        <w:rPr>
          <w:b/>
          <w:bCs/>
          <w:sz w:val="24"/>
          <w:szCs w:val="24"/>
        </w:rPr>
        <w:t>:</w:t>
      </w:r>
      <w:r w:rsidRPr="65287A3E">
        <w:rPr>
          <w:sz w:val="24"/>
          <w:szCs w:val="24"/>
        </w:rPr>
        <w:t xml:space="preserve">  </w:t>
      </w:r>
      <w:r w:rsidR="0D452E44" w:rsidRPr="65287A3E">
        <w:rPr>
          <w:sz w:val="24"/>
          <w:szCs w:val="24"/>
        </w:rPr>
        <w:t>Washington</w:t>
      </w:r>
      <w:proofErr w:type="gramEnd"/>
      <w:r w:rsidR="0D452E44" w:rsidRPr="65287A3E">
        <w:rPr>
          <w:sz w:val="24"/>
          <w:szCs w:val="24"/>
        </w:rPr>
        <w:t xml:space="preserve"> State Department of Employment Security (ESD) has primarily served </w:t>
      </w:r>
      <w:proofErr w:type="gramStart"/>
      <w:r w:rsidR="0D452E44" w:rsidRPr="65287A3E">
        <w:rPr>
          <w:sz w:val="24"/>
          <w:szCs w:val="24"/>
        </w:rPr>
        <w:t>individuals</w:t>
      </w:r>
      <w:proofErr w:type="gramEnd"/>
      <w:r w:rsidR="0D452E44" w:rsidRPr="65287A3E">
        <w:rPr>
          <w:sz w:val="24"/>
          <w:szCs w:val="24"/>
        </w:rPr>
        <w:t xml:space="preserve"> post-incarceration and will now use its PH6 grant to operate this project to provide in-person pre- and post-release employment readiness services to individuals in Kitap and Franklin Counties, and potentially other neighboring counties if additional partnerships develop through the grant period. These services will remove barriers to employment and reduce recidivism while reducing strain on our prison system and community resources for people experiencing homelessness and poverty. The goal of this pilot is to demonstrate effectiveness and scale statewide in future years.</w:t>
      </w:r>
    </w:p>
    <w:p w14:paraId="36CB7098" w14:textId="77777777" w:rsidR="00F4112F" w:rsidRPr="002D60D8" w:rsidRDefault="00F4112F" w:rsidP="00F4112F">
      <w:pPr>
        <w:spacing w:after="40" w:line="240" w:lineRule="auto"/>
        <w:rPr>
          <w:rFonts w:cstheme="minorHAnsi"/>
        </w:rPr>
      </w:pPr>
    </w:p>
    <w:p w14:paraId="695498CB" w14:textId="036AE896" w:rsidR="2313FEB8" w:rsidRDefault="2313FEB8" w:rsidP="65287A3E">
      <w:pPr>
        <w:spacing w:after="40" w:line="240" w:lineRule="auto"/>
        <w:rPr>
          <w:sz w:val="24"/>
          <w:szCs w:val="24"/>
        </w:rPr>
      </w:pPr>
      <w:r w:rsidRPr="65287A3E">
        <w:rPr>
          <w:sz w:val="24"/>
          <w:szCs w:val="24"/>
        </w:rPr>
        <w:t>In ESD’s role as service provider, ESD will provide training services, such as digital literacy, financial literacy, micro credentials, occupational skills training, work-based learning activities including paid/unpaid Work Experience Program (WEX), internships, structured short-term pre-employment activities, pre-vocational services and transitional jobs, and Individualized Training Accounts (ITAs) for participants to be placed into regional, in-demand certificated programs and career technical training programs.  ESD will also provide supportive services, such as childcare, transportation, food, mental health counseling, legal assistance, financial counseling, referrals for drug treatment, provision of work tools or work clothes, and needs-related payments/emergency cash assistance.</w:t>
      </w:r>
      <w:r w:rsidR="5157F27C" w:rsidRPr="65287A3E">
        <w:rPr>
          <w:sz w:val="24"/>
          <w:szCs w:val="24"/>
        </w:rPr>
        <w:t xml:space="preserve">  </w:t>
      </w:r>
      <w:r w:rsidR="7710C34B" w:rsidRPr="65287A3E">
        <w:rPr>
          <w:sz w:val="24"/>
          <w:szCs w:val="24"/>
        </w:rPr>
        <w:t xml:space="preserve">Many of these services will be provided through ESD’s partnership with </w:t>
      </w:r>
      <w:r w:rsidR="5157F27C" w:rsidRPr="65287A3E">
        <w:rPr>
          <w:sz w:val="24"/>
          <w:szCs w:val="24"/>
        </w:rPr>
        <w:t>WorkSource (Washington State’s name for American Job Centers</w:t>
      </w:r>
      <w:r w:rsidR="7DA0B686" w:rsidRPr="65287A3E">
        <w:rPr>
          <w:sz w:val="24"/>
          <w:szCs w:val="24"/>
        </w:rPr>
        <w:t>)</w:t>
      </w:r>
      <w:r w:rsidR="70A4029F" w:rsidRPr="65287A3E">
        <w:rPr>
          <w:sz w:val="24"/>
          <w:szCs w:val="24"/>
        </w:rPr>
        <w:t xml:space="preserve"> and Local Workforce Development Boards.</w:t>
      </w:r>
    </w:p>
    <w:p w14:paraId="05CD9B18" w14:textId="77777777" w:rsidR="00F4112F" w:rsidRPr="002D60D8" w:rsidRDefault="00F4112F" w:rsidP="00F4112F">
      <w:pPr>
        <w:spacing w:after="40" w:line="240" w:lineRule="auto"/>
        <w:rPr>
          <w:rFonts w:cstheme="minorHAnsi"/>
        </w:rPr>
      </w:pPr>
    </w:p>
    <w:p w14:paraId="3BC39D25" w14:textId="4E1C91FD" w:rsidR="00F4112F" w:rsidRPr="002D60D8" w:rsidRDefault="00F4112F" w:rsidP="65287A3E">
      <w:pPr>
        <w:spacing w:after="40" w:line="240" w:lineRule="auto"/>
        <w:rPr>
          <w:color w:val="000000" w:themeColor="text1"/>
          <w:sz w:val="24"/>
          <w:szCs w:val="24"/>
        </w:rPr>
      </w:pPr>
      <w:r w:rsidRPr="65287A3E">
        <w:rPr>
          <w:color w:val="000000" w:themeColor="text1"/>
          <w:sz w:val="24"/>
          <w:szCs w:val="24"/>
        </w:rPr>
        <w:t xml:space="preserve">The </w:t>
      </w:r>
      <w:r w:rsidRPr="65287A3E">
        <w:rPr>
          <w:b/>
          <w:bCs/>
          <w:color w:val="000000" w:themeColor="text1"/>
          <w:sz w:val="24"/>
          <w:szCs w:val="24"/>
        </w:rPr>
        <w:t>proposed outcomes</w:t>
      </w:r>
      <w:r w:rsidRPr="65287A3E">
        <w:rPr>
          <w:color w:val="000000" w:themeColor="text1"/>
          <w:sz w:val="24"/>
          <w:szCs w:val="24"/>
        </w:rPr>
        <w:t xml:space="preserve"> are: </w:t>
      </w:r>
      <w:r w:rsidRPr="65287A3E">
        <w:rPr>
          <w:sz w:val="24"/>
          <w:szCs w:val="24"/>
        </w:rPr>
        <w:t xml:space="preserve">55% employment rate 2nd quarter after exit; 45% employment rate 4th quarter after exit; median </w:t>
      </w:r>
      <w:proofErr w:type="gramStart"/>
      <w:r w:rsidRPr="65287A3E">
        <w:rPr>
          <w:sz w:val="24"/>
          <w:szCs w:val="24"/>
        </w:rPr>
        <w:t>earnings goal</w:t>
      </w:r>
      <w:proofErr w:type="gramEnd"/>
      <w:r w:rsidRPr="65287A3E">
        <w:rPr>
          <w:sz w:val="24"/>
          <w:szCs w:val="24"/>
        </w:rPr>
        <w:t xml:space="preserve"> for 2nd quarter after exit is $6,000; 60% credential attainment; 65% measurable skill gains; and less than </w:t>
      </w:r>
      <w:r w:rsidR="47CC2983" w:rsidRPr="65287A3E">
        <w:rPr>
          <w:sz w:val="24"/>
          <w:szCs w:val="24"/>
        </w:rPr>
        <w:t>22.1</w:t>
      </w:r>
      <w:r w:rsidRPr="65287A3E">
        <w:rPr>
          <w:sz w:val="24"/>
          <w:szCs w:val="24"/>
        </w:rPr>
        <w:t>% recidivism.</w:t>
      </w:r>
    </w:p>
    <w:p w14:paraId="5535B180" w14:textId="77777777" w:rsidR="00F4112F" w:rsidRPr="002D60D8" w:rsidRDefault="00F4112F" w:rsidP="007A5005">
      <w:pPr>
        <w:spacing w:after="40" w:line="240" w:lineRule="auto"/>
        <w:rPr>
          <w:rFonts w:cstheme="minorHAnsi"/>
        </w:rPr>
      </w:pPr>
    </w:p>
    <w:sectPr w:rsidR="00F4112F" w:rsidRPr="002D60D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9DF8" w14:textId="77777777" w:rsidR="00462FCE" w:rsidRDefault="00462FCE" w:rsidP="00097F38">
      <w:pPr>
        <w:spacing w:after="0" w:line="240" w:lineRule="auto"/>
      </w:pPr>
      <w:r>
        <w:separator/>
      </w:r>
    </w:p>
  </w:endnote>
  <w:endnote w:type="continuationSeparator" w:id="0">
    <w:p w14:paraId="5AF527FE" w14:textId="77777777" w:rsidR="00462FCE" w:rsidRDefault="00462FCE" w:rsidP="0009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822608"/>
      <w:docPartObj>
        <w:docPartGallery w:val="Page Numbers (Bottom of Page)"/>
        <w:docPartUnique/>
      </w:docPartObj>
    </w:sdtPr>
    <w:sdtEndPr>
      <w:rPr>
        <w:color w:val="7F7F7F" w:themeColor="background1" w:themeShade="7F"/>
        <w:spacing w:val="60"/>
      </w:rPr>
    </w:sdtEndPr>
    <w:sdtContent>
      <w:p w14:paraId="3BC2896D" w14:textId="0C9412DA" w:rsidR="00097F38" w:rsidRDefault="00097F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6B6E71" w14:textId="77777777" w:rsidR="00097F38" w:rsidRDefault="0009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D4A3" w14:textId="77777777" w:rsidR="00462FCE" w:rsidRDefault="00462FCE" w:rsidP="00097F38">
      <w:pPr>
        <w:spacing w:after="0" w:line="240" w:lineRule="auto"/>
      </w:pPr>
      <w:r>
        <w:separator/>
      </w:r>
    </w:p>
  </w:footnote>
  <w:footnote w:type="continuationSeparator" w:id="0">
    <w:p w14:paraId="4996014B" w14:textId="77777777" w:rsidR="00462FCE" w:rsidRDefault="00462FCE" w:rsidP="00097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E0"/>
    <w:multiLevelType w:val="multilevel"/>
    <w:tmpl w:val="5FE2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2545D"/>
    <w:multiLevelType w:val="multilevel"/>
    <w:tmpl w:val="78B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E7D9C"/>
    <w:multiLevelType w:val="hybridMultilevel"/>
    <w:tmpl w:val="E4F8B7B2"/>
    <w:lvl w:ilvl="0" w:tplc="4FEA4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F1717"/>
    <w:multiLevelType w:val="multilevel"/>
    <w:tmpl w:val="EC8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24E7D"/>
    <w:multiLevelType w:val="multilevel"/>
    <w:tmpl w:val="948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D078A"/>
    <w:multiLevelType w:val="multilevel"/>
    <w:tmpl w:val="F45E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30E51"/>
    <w:multiLevelType w:val="multilevel"/>
    <w:tmpl w:val="DB1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B3E30"/>
    <w:multiLevelType w:val="multilevel"/>
    <w:tmpl w:val="10C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11551"/>
    <w:multiLevelType w:val="multilevel"/>
    <w:tmpl w:val="E82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85663"/>
    <w:multiLevelType w:val="multilevel"/>
    <w:tmpl w:val="D56C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A72341"/>
    <w:multiLevelType w:val="multilevel"/>
    <w:tmpl w:val="36A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36067C"/>
    <w:multiLevelType w:val="multilevel"/>
    <w:tmpl w:val="E46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B15590"/>
    <w:multiLevelType w:val="multilevel"/>
    <w:tmpl w:val="6E0E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F4365"/>
    <w:multiLevelType w:val="multilevel"/>
    <w:tmpl w:val="7C7C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066DA"/>
    <w:multiLevelType w:val="multilevel"/>
    <w:tmpl w:val="FCE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42AE4"/>
    <w:multiLevelType w:val="multilevel"/>
    <w:tmpl w:val="3FE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023F0C"/>
    <w:multiLevelType w:val="multilevel"/>
    <w:tmpl w:val="BDCA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6C146D"/>
    <w:multiLevelType w:val="multilevel"/>
    <w:tmpl w:val="8E1A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E5478"/>
    <w:multiLevelType w:val="multilevel"/>
    <w:tmpl w:val="8E5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43B59"/>
    <w:multiLevelType w:val="multilevel"/>
    <w:tmpl w:val="F69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5B53FB"/>
    <w:multiLevelType w:val="multilevel"/>
    <w:tmpl w:val="16CC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3E5F7A"/>
    <w:multiLevelType w:val="multilevel"/>
    <w:tmpl w:val="4DB23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03F45"/>
    <w:multiLevelType w:val="multilevel"/>
    <w:tmpl w:val="F41E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D512B"/>
    <w:multiLevelType w:val="hybridMultilevel"/>
    <w:tmpl w:val="3E3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2244C"/>
    <w:multiLevelType w:val="multilevel"/>
    <w:tmpl w:val="6786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7B793D"/>
    <w:multiLevelType w:val="multilevel"/>
    <w:tmpl w:val="DD5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7863EE"/>
    <w:multiLevelType w:val="multilevel"/>
    <w:tmpl w:val="CE0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7625916">
    <w:abstractNumId w:val="23"/>
  </w:num>
  <w:num w:numId="2" w16cid:durableId="1704670171">
    <w:abstractNumId w:val="2"/>
  </w:num>
  <w:num w:numId="3" w16cid:durableId="1754011267">
    <w:abstractNumId w:val="20"/>
  </w:num>
  <w:num w:numId="4" w16cid:durableId="1749227271">
    <w:abstractNumId w:val="21"/>
  </w:num>
  <w:num w:numId="5" w16cid:durableId="2064325126">
    <w:abstractNumId w:val="17"/>
  </w:num>
  <w:num w:numId="6" w16cid:durableId="1875119697">
    <w:abstractNumId w:val="14"/>
  </w:num>
  <w:num w:numId="7" w16cid:durableId="2142307015">
    <w:abstractNumId w:val="22"/>
  </w:num>
  <w:num w:numId="8" w16cid:durableId="1669165431">
    <w:abstractNumId w:val="11"/>
  </w:num>
  <w:num w:numId="9" w16cid:durableId="666177640">
    <w:abstractNumId w:val="9"/>
  </w:num>
  <w:num w:numId="10" w16cid:durableId="227109216">
    <w:abstractNumId w:val="6"/>
  </w:num>
  <w:num w:numId="11" w16cid:durableId="1518272670">
    <w:abstractNumId w:val="19"/>
  </w:num>
  <w:num w:numId="12" w16cid:durableId="1830755234">
    <w:abstractNumId w:val="24"/>
  </w:num>
  <w:num w:numId="13" w16cid:durableId="329869712">
    <w:abstractNumId w:val="13"/>
  </w:num>
  <w:num w:numId="14" w16cid:durableId="1653438301">
    <w:abstractNumId w:val="4"/>
  </w:num>
  <w:num w:numId="15" w16cid:durableId="1629121680">
    <w:abstractNumId w:val="25"/>
  </w:num>
  <w:num w:numId="16" w16cid:durableId="399911363">
    <w:abstractNumId w:val="7"/>
  </w:num>
  <w:num w:numId="17" w16cid:durableId="309487003">
    <w:abstractNumId w:val="18"/>
  </w:num>
  <w:num w:numId="18" w16cid:durableId="1866600607">
    <w:abstractNumId w:val="10"/>
  </w:num>
  <w:num w:numId="19" w16cid:durableId="1959750330">
    <w:abstractNumId w:val="16"/>
  </w:num>
  <w:num w:numId="20" w16cid:durableId="865682756">
    <w:abstractNumId w:val="12"/>
  </w:num>
  <w:num w:numId="21" w16cid:durableId="921794468">
    <w:abstractNumId w:val="3"/>
  </w:num>
  <w:num w:numId="22" w16cid:durableId="1960333640">
    <w:abstractNumId w:val="8"/>
  </w:num>
  <w:num w:numId="23" w16cid:durableId="1720976795">
    <w:abstractNumId w:val="0"/>
  </w:num>
  <w:num w:numId="24" w16cid:durableId="361320849">
    <w:abstractNumId w:val="15"/>
  </w:num>
  <w:num w:numId="25" w16cid:durableId="1538154062">
    <w:abstractNumId w:val="26"/>
  </w:num>
  <w:num w:numId="26" w16cid:durableId="1873491821">
    <w:abstractNumId w:val="5"/>
  </w:num>
  <w:num w:numId="27" w16cid:durableId="203942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8A"/>
    <w:rsid w:val="000016A7"/>
    <w:rsid w:val="00005B15"/>
    <w:rsid w:val="0000697E"/>
    <w:rsid w:val="0001261E"/>
    <w:rsid w:val="0001351E"/>
    <w:rsid w:val="00016DA7"/>
    <w:rsid w:val="00021288"/>
    <w:rsid w:val="0002129E"/>
    <w:rsid w:val="000226AC"/>
    <w:rsid w:val="00024F80"/>
    <w:rsid w:val="00033F21"/>
    <w:rsid w:val="0004061A"/>
    <w:rsid w:val="00050BAC"/>
    <w:rsid w:val="000514FD"/>
    <w:rsid w:val="0005744E"/>
    <w:rsid w:val="000604D6"/>
    <w:rsid w:val="00074672"/>
    <w:rsid w:val="00074773"/>
    <w:rsid w:val="000753F5"/>
    <w:rsid w:val="000763D4"/>
    <w:rsid w:val="00080029"/>
    <w:rsid w:val="0008041F"/>
    <w:rsid w:val="0008284A"/>
    <w:rsid w:val="00090FB0"/>
    <w:rsid w:val="00091D44"/>
    <w:rsid w:val="00097F38"/>
    <w:rsid w:val="000A7297"/>
    <w:rsid w:val="000C1CE5"/>
    <w:rsid w:val="000C48B9"/>
    <w:rsid w:val="000C75E4"/>
    <w:rsid w:val="000D44B7"/>
    <w:rsid w:val="000F21DE"/>
    <w:rsid w:val="000F2943"/>
    <w:rsid w:val="000F2946"/>
    <w:rsid w:val="00110E66"/>
    <w:rsid w:val="00112BB3"/>
    <w:rsid w:val="00113509"/>
    <w:rsid w:val="00133F75"/>
    <w:rsid w:val="0013508A"/>
    <w:rsid w:val="00145B12"/>
    <w:rsid w:val="00146C55"/>
    <w:rsid w:val="00147367"/>
    <w:rsid w:val="00154227"/>
    <w:rsid w:val="00155A5C"/>
    <w:rsid w:val="00157C75"/>
    <w:rsid w:val="0016125A"/>
    <w:rsid w:val="0016126B"/>
    <w:rsid w:val="001660FC"/>
    <w:rsid w:val="0016681D"/>
    <w:rsid w:val="001764CA"/>
    <w:rsid w:val="001774A7"/>
    <w:rsid w:val="001A483E"/>
    <w:rsid w:val="001A5D7C"/>
    <w:rsid w:val="001B6548"/>
    <w:rsid w:val="001B6F62"/>
    <w:rsid w:val="001B7FFB"/>
    <w:rsid w:val="001C061C"/>
    <w:rsid w:val="001D11F6"/>
    <w:rsid w:val="001D1923"/>
    <w:rsid w:val="001E1EBC"/>
    <w:rsid w:val="001F1FCF"/>
    <w:rsid w:val="001F392B"/>
    <w:rsid w:val="001F5461"/>
    <w:rsid w:val="001F67AD"/>
    <w:rsid w:val="0021096F"/>
    <w:rsid w:val="002252CB"/>
    <w:rsid w:val="00233D14"/>
    <w:rsid w:val="002473D9"/>
    <w:rsid w:val="002477CD"/>
    <w:rsid w:val="002548D2"/>
    <w:rsid w:val="00254D8B"/>
    <w:rsid w:val="00256B1C"/>
    <w:rsid w:val="002613A7"/>
    <w:rsid w:val="00264946"/>
    <w:rsid w:val="0026CDF8"/>
    <w:rsid w:val="00270649"/>
    <w:rsid w:val="0027600E"/>
    <w:rsid w:val="00276EE3"/>
    <w:rsid w:val="0028034A"/>
    <w:rsid w:val="00293F84"/>
    <w:rsid w:val="002B0FF5"/>
    <w:rsid w:val="002B1EBF"/>
    <w:rsid w:val="002B1F87"/>
    <w:rsid w:val="002D60D8"/>
    <w:rsid w:val="002D64B6"/>
    <w:rsid w:val="002D773A"/>
    <w:rsid w:val="002E60BF"/>
    <w:rsid w:val="002E7494"/>
    <w:rsid w:val="00300078"/>
    <w:rsid w:val="00301F00"/>
    <w:rsid w:val="0032050A"/>
    <w:rsid w:val="00335D79"/>
    <w:rsid w:val="003372A5"/>
    <w:rsid w:val="0034066F"/>
    <w:rsid w:val="00351AB3"/>
    <w:rsid w:val="003640E3"/>
    <w:rsid w:val="00366AAA"/>
    <w:rsid w:val="003671F9"/>
    <w:rsid w:val="003756C6"/>
    <w:rsid w:val="00380DEC"/>
    <w:rsid w:val="003829D1"/>
    <w:rsid w:val="0038564D"/>
    <w:rsid w:val="0039460F"/>
    <w:rsid w:val="003A0701"/>
    <w:rsid w:val="003B1BF9"/>
    <w:rsid w:val="003C39FD"/>
    <w:rsid w:val="003C3D25"/>
    <w:rsid w:val="003C67C4"/>
    <w:rsid w:val="003D5B8A"/>
    <w:rsid w:val="003E6096"/>
    <w:rsid w:val="003F42D6"/>
    <w:rsid w:val="003F595C"/>
    <w:rsid w:val="0040128E"/>
    <w:rsid w:val="00405A30"/>
    <w:rsid w:val="004174EB"/>
    <w:rsid w:val="00447C95"/>
    <w:rsid w:val="00455835"/>
    <w:rsid w:val="00460DA7"/>
    <w:rsid w:val="00462BC0"/>
    <w:rsid w:val="00462FCE"/>
    <w:rsid w:val="00464A5A"/>
    <w:rsid w:val="00466A19"/>
    <w:rsid w:val="00467A0F"/>
    <w:rsid w:val="00471D45"/>
    <w:rsid w:val="004734D2"/>
    <w:rsid w:val="00473836"/>
    <w:rsid w:val="00476039"/>
    <w:rsid w:val="00476FCE"/>
    <w:rsid w:val="004A31B7"/>
    <w:rsid w:val="004B4603"/>
    <w:rsid w:val="004D278A"/>
    <w:rsid w:val="004D6D47"/>
    <w:rsid w:val="004E2FFB"/>
    <w:rsid w:val="004F2D81"/>
    <w:rsid w:val="004F4024"/>
    <w:rsid w:val="004F436C"/>
    <w:rsid w:val="004F6D74"/>
    <w:rsid w:val="00511722"/>
    <w:rsid w:val="00515A9E"/>
    <w:rsid w:val="00517FAB"/>
    <w:rsid w:val="0052604B"/>
    <w:rsid w:val="0054155E"/>
    <w:rsid w:val="00543034"/>
    <w:rsid w:val="0054443A"/>
    <w:rsid w:val="0056001E"/>
    <w:rsid w:val="00561741"/>
    <w:rsid w:val="0056185A"/>
    <w:rsid w:val="00563B2D"/>
    <w:rsid w:val="0057180B"/>
    <w:rsid w:val="00571AE0"/>
    <w:rsid w:val="0058381E"/>
    <w:rsid w:val="005A459E"/>
    <w:rsid w:val="005A4B12"/>
    <w:rsid w:val="005C661D"/>
    <w:rsid w:val="005D4688"/>
    <w:rsid w:val="005D4A23"/>
    <w:rsid w:val="005D5768"/>
    <w:rsid w:val="005D6E8D"/>
    <w:rsid w:val="005E4837"/>
    <w:rsid w:val="005F0F51"/>
    <w:rsid w:val="005F243F"/>
    <w:rsid w:val="005F6868"/>
    <w:rsid w:val="005F7D56"/>
    <w:rsid w:val="00611469"/>
    <w:rsid w:val="00612235"/>
    <w:rsid w:val="0063203F"/>
    <w:rsid w:val="00636186"/>
    <w:rsid w:val="00640110"/>
    <w:rsid w:val="00642472"/>
    <w:rsid w:val="0064387D"/>
    <w:rsid w:val="00654939"/>
    <w:rsid w:val="00655783"/>
    <w:rsid w:val="006647AA"/>
    <w:rsid w:val="006666FF"/>
    <w:rsid w:val="0068745F"/>
    <w:rsid w:val="00687B18"/>
    <w:rsid w:val="00693FFE"/>
    <w:rsid w:val="006A779E"/>
    <w:rsid w:val="006B71C5"/>
    <w:rsid w:val="006C44ED"/>
    <w:rsid w:val="006C6293"/>
    <w:rsid w:val="006C6C75"/>
    <w:rsid w:val="006E1AF2"/>
    <w:rsid w:val="006F4674"/>
    <w:rsid w:val="006F77BC"/>
    <w:rsid w:val="00731C19"/>
    <w:rsid w:val="007364E6"/>
    <w:rsid w:val="00740302"/>
    <w:rsid w:val="0074535E"/>
    <w:rsid w:val="007461A0"/>
    <w:rsid w:val="00752E4E"/>
    <w:rsid w:val="00764847"/>
    <w:rsid w:val="007660E2"/>
    <w:rsid w:val="007703E5"/>
    <w:rsid w:val="00770D63"/>
    <w:rsid w:val="0077143A"/>
    <w:rsid w:val="007746A2"/>
    <w:rsid w:val="007838A9"/>
    <w:rsid w:val="007909CA"/>
    <w:rsid w:val="00792ADC"/>
    <w:rsid w:val="00796A76"/>
    <w:rsid w:val="0079736C"/>
    <w:rsid w:val="007A5005"/>
    <w:rsid w:val="007B10B5"/>
    <w:rsid w:val="007B789C"/>
    <w:rsid w:val="007D0327"/>
    <w:rsid w:val="007D0A4C"/>
    <w:rsid w:val="007D22F9"/>
    <w:rsid w:val="007D68B3"/>
    <w:rsid w:val="007E4CA1"/>
    <w:rsid w:val="007F2F3F"/>
    <w:rsid w:val="007F35EE"/>
    <w:rsid w:val="007F7F33"/>
    <w:rsid w:val="00805175"/>
    <w:rsid w:val="00811626"/>
    <w:rsid w:val="008155FA"/>
    <w:rsid w:val="00816BCD"/>
    <w:rsid w:val="00852690"/>
    <w:rsid w:val="008628B6"/>
    <w:rsid w:val="008714DF"/>
    <w:rsid w:val="00881A3E"/>
    <w:rsid w:val="00893CA3"/>
    <w:rsid w:val="008A6C0E"/>
    <w:rsid w:val="008C0E00"/>
    <w:rsid w:val="008C2D29"/>
    <w:rsid w:val="008C4160"/>
    <w:rsid w:val="008C57B0"/>
    <w:rsid w:val="008D0F2C"/>
    <w:rsid w:val="008E639D"/>
    <w:rsid w:val="008F2762"/>
    <w:rsid w:val="008F4DD3"/>
    <w:rsid w:val="00903E3D"/>
    <w:rsid w:val="009169C8"/>
    <w:rsid w:val="009225AC"/>
    <w:rsid w:val="00922D93"/>
    <w:rsid w:val="00940DE1"/>
    <w:rsid w:val="00941ECB"/>
    <w:rsid w:val="00951CF2"/>
    <w:rsid w:val="00962B6B"/>
    <w:rsid w:val="00966667"/>
    <w:rsid w:val="009739D6"/>
    <w:rsid w:val="0097478C"/>
    <w:rsid w:val="0097590A"/>
    <w:rsid w:val="00982404"/>
    <w:rsid w:val="00982DAF"/>
    <w:rsid w:val="00984DC8"/>
    <w:rsid w:val="00985DA0"/>
    <w:rsid w:val="00990145"/>
    <w:rsid w:val="009B1165"/>
    <w:rsid w:val="009B3117"/>
    <w:rsid w:val="009C113D"/>
    <w:rsid w:val="009C2673"/>
    <w:rsid w:val="009C6D5A"/>
    <w:rsid w:val="009D032A"/>
    <w:rsid w:val="009D21D4"/>
    <w:rsid w:val="009E23EA"/>
    <w:rsid w:val="009F02CC"/>
    <w:rsid w:val="009F248D"/>
    <w:rsid w:val="009F48F4"/>
    <w:rsid w:val="00A01BEB"/>
    <w:rsid w:val="00A055B8"/>
    <w:rsid w:val="00A13D51"/>
    <w:rsid w:val="00A15B02"/>
    <w:rsid w:val="00A21325"/>
    <w:rsid w:val="00A22C41"/>
    <w:rsid w:val="00A245F4"/>
    <w:rsid w:val="00A36121"/>
    <w:rsid w:val="00A37716"/>
    <w:rsid w:val="00A44680"/>
    <w:rsid w:val="00A61CFB"/>
    <w:rsid w:val="00A62828"/>
    <w:rsid w:val="00A7056F"/>
    <w:rsid w:val="00A713EE"/>
    <w:rsid w:val="00A80897"/>
    <w:rsid w:val="00A8162E"/>
    <w:rsid w:val="00A87264"/>
    <w:rsid w:val="00A90641"/>
    <w:rsid w:val="00A93921"/>
    <w:rsid w:val="00A94E5D"/>
    <w:rsid w:val="00AB1D2B"/>
    <w:rsid w:val="00AB36E3"/>
    <w:rsid w:val="00AB3C16"/>
    <w:rsid w:val="00AB4778"/>
    <w:rsid w:val="00AB56EC"/>
    <w:rsid w:val="00AB6B7B"/>
    <w:rsid w:val="00AB757A"/>
    <w:rsid w:val="00AC1691"/>
    <w:rsid w:val="00AE16DD"/>
    <w:rsid w:val="00AE23AB"/>
    <w:rsid w:val="00AE5754"/>
    <w:rsid w:val="00AE59A0"/>
    <w:rsid w:val="00AE5FAF"/>
    <w:rsid w:val="00AE637C"/>
    <w:rsid w:val="00AE6E28"/>
    <w:rsid w:val="00B123B5"/>
    <w:rsid w:val="00B17BF4"/>
    <w:rsid w:val="00B2218B"/>
    <w:rsid w:val="00B22AA2"/>
    <w:rsid w:val="00B25C1F"/>
    <w:rsid w:val="00B37BD9"/>
    <w:rsid w:val="00B47708"/>
    <w:rsid w:val="00B50FC5"/>
    <w:rsid w:val="00B5673F"/>
    <w:rsid w:val="00B5749F"/>
    <w:rsid w:val="00B72283"/>
    <w:rsid w:val="00B724F7"/>
    <w:rsid w:val="00B72596"/>
    <w:rsid w:val="00B76AAA"/>
    <w:rsid w:val="00B816D7"/>
    <w:rsid w:val="00B86284"/>
    <w:rsid w:val="00BA25F9"/>
    <w:rsid w:val="00BA352C"/>
    <w:rsid w:val="00BA55E0"/>
    <w:rsid w:val="00BB3C70"/>
    <w:rsid w:val="00BD16B5"/>
    <w:rsid w:val="00BD2589"/>
    <w:rsid w:val="00BE1F4C"/>
    <w:rsid w:val="00BE51FC"/>
    <w:rsid w:val="00C1402D"/>
    <w:rsid w:val="00C21FCA"/>
    <w:rsid w:val="00C3199F"/>
    <w:rsid w:val="00C36A23"/>
    <w:rsid w:val="00C4078F"/>
    <w:rsid w:val="00C60818"/>
    <w:rsid w:val="00C65EFF"/>
    <w:rsid w:val="00C67AA6"/>
    <w:rsid w:val="00C76F25"/>
    <w:rsid w:val="00C8172B"/>
    <w:rsid w:val="00C82016"/>
    <w:rsid w:val="00C82BD9"/>
    <w:rsid w:val="00C83A5A"/>
    <w:rsid w:val="00C84E1F"/>
    <w:rsid w:val="00C851AB"/>
    <w:rsid w:val="00C87DA5"/>
    <w:rsid w:val="00CF1832"/>
    <w:rsid w:val="00CF29C8"/>
    <w:rsid w:val="00CF4BA5"/>
    <w:rsid w:val="00D03CE1"/>
    <w:rsid w:val="00D0571B"/>
    <w:rsid w:val="00D100CC"/>
    <w:rsid w:val="00D15285"/>
    <w:rsid w:val="00D15BDD"/>
    <w:rsid w:val="00D15BEB"/>
    <w:rsid w:val="00D20470"/>
    <w:rsid w:val="00D220F6"/>
    <w:rsid w:val="00D331B7"/>
    <w:rsid w:val="00D33CEF"/>
    <w:rsid w:val="00D365A9"/>
    <w:rsid w:val="00D4110A"/>
    <w:rsid w:val="00D53287"/>
    <w:rsid w:val="00D60302"/>
    <w:rsid w:val="00D61C2F"/>
    <w:rsid w:val="00D67E52"/>
    <w:rsid w:val="00D771A6"/>
    <w:rsid w:val="00D90296"/>
    <w:rsid w:val="00D961F1"/>
    <w:rsid w:val="00DB4318"/>
    <w:rsid w:val="00DB4D32"/>
    <w:rsid w:val="00DB7DA4"/>
    <w:rsid w:val="00DC0F51"/>
    <w:rsid w:val="00DC40BB"/>
    <w:rsid w:val="00DD387B"/>
    <w:rsid w:val="00DE4065"/>
    <w:rsid w:val="00DF0DE7"/>
    <w:rsid w:val="00DF45CD"/>
    <w:rsid w:val="00E0029A"/>
    <w:rsid w:val="00E00CC8"/>
    <w:rsid w:val="00E03A6A"/>
    <w:rsid w:val="00E06BF6"/>
    <w:rsid w:val="00E23013"/>
    <w:rsid w:val="00E235C7"/>
    <w:rsid w:val="00E25543"/>
    <w:rsid w:val="00E3250C"/>
    <w:rsid w:val="00E44CE8"/>
    <w:rsid w:val="00E45A05"/>
    <w:rsid w:val="00E756B2"/>
    <w:rsid w:val="00E853C2"/>
    <w:rsid w:val="00E878EF"/>
    <w:rsid w:val="00EA7E2E"/>
    <w:rsid w:val="00EB0129"/>
    <w:rsid w:val="00EB45FC"/>
    <w:rsid w:val="00EC65F1"/>
    <w:rsid w:val="00EC6C1A"/>
    <w:rsid w:val="00ED13CC"/>
    <w:rsid w:val="00ED41F0"/>
    <w:rsid w:val="00EE54D2"/>
    <w:rsid w:val="00EE67D6"/>
    <w:rsid w:val="00EE7880"/>
    <w:rsid w:val="00EF51A4"/>
    <w:rsid w:val="00F07D60"/>
    <w:rsid w:val="00F12B91"/>
    <w:rsid w:val="00F225D4"/>
    <w:rsid w:val="00F34287"/>
    <w:rsid w:val="00F4112F"/>
    <w:rsid w:val="00F4153E"/>
    <w:rsid w:val="00F41B57"/>
    <w:rsid w:val="00F41FAB"/>
    <w:rsid w:val="00F47665"/>
    <w:rsid w:val="00F516EB"/>
    <w:rsid w:val="00F52B9D"/>
    <w:rsid w:val="00F53408"/>
    <w:rsid w:val="00F63602"/>
    <w:rsid w:val="00F6387E"/>
    <w:rsid w:val="00F65A38"/>
    <w:rsid w:val="00F66152"/>
    <w:rsid w:val="00F74389"/>
    <w:rsid w:val="00F7791E"/>
    <w:rsid w:val="00F77F82"/>
    <w:rsid w:val="00F800FE"/>
    <w:rsid w:val="00F8250D"/>
    <w:rsid w:val="00F87EEA"/>
    <w:rsid w:val="00F9032C"/>
    <w:rsid w:val="00F90B53"/>
    <w:rsid w:val="00F91553"/>
    <w:rsid w:val="00F91D62"/>
    <w:rsid w:val="00F92725"/>
    <w:rsid w:val="00F9485A"/>
    <w:rsid w:val="00F966CE"/>
    <w:rsid w:val="00FA6BA3"/>
    <w:rsid w:val="00FB449E"/>
    <w:rsid w:val="00FC4F44"/>
    <w:rsid w:val="00FD6ADA"/>
    <w:rsid w:val="00FE5EF3"/>
    <w:rsid w:val="00FE7824"/>
    <w:rsid w:val="00FF0BA2"/>
    <w:rsid w:val="00FF1567"/>
    <w:rsid w:val="00FF36EA"/>
    <w:rsid w:val="028B06BA"/>
    <w:rsid w:val="05845B55"/>
    <w:rsid w:val="069A1E74"/>
    <w:rsid w:val="06EB5184"/>
    <w:rsid w:val="0710024B"/>
    <w:rsid w:val="079489A1"/>
    <w:rsid w:val="0B39B0CA"/>
    <w:rsid w:val="0CE3755D"/>
    <w:rsid w:val="0D452E44"/>
    <w:rsid w:val="0DBBCE4A"/>
    <w:rsid w:val="0E3D6F31"/>
    <w:rsid w:val="0E40EA85"/>
    <w:rsid w:val="111B12DF"/>
    <w:rsid w:val="11436672"/>
    <w:rsid w:val="12231689"/>
    <w:rsid w:val="129307CB"/>
    <w:rsid w:val="157F44D8"/>
    <w:rsid w:val="15EA6706"/>
    <w:rsid w:val="16754AEE"/>
    <w:rsid w:val="17180711"/>
    <w:rsid w:val="18917316"/>
    <w:rsid w:val="18CB3F82"/>
    <w:rsid w:val="1AFC9FA1"/>
    <w:rsid w:val="1B974B91"/>
    <w:rsid w:val="1C43DF0C"/>
    <w:rsid w:val="1E9DEE2D"/>
    <w:rsid w:val="1FAFFE12"/>
    <w:rsid w:val="20ED8D5E"/>
    <w:rsid w:val="2313FEB8"/>
    <w:rsid w:val="2432D56D"/>
    <w:rsid w:val="25BA523F"/>
    <w:rsid w:val="264EB963"/>
    <w:rsid w:val="2679B396"/>
    <w:rsid w:val="2739B35E"/>
    <w:rsid w:val="2A7C3ADD"/>
    <w:rsid w:val="2B0EF928"/>
    <w:rsid w:val="2B440B9F"/>
    <w:rsid w:val="2B4EF575"/>
    <w:rsid w:val="2E580C2B"/>
    <w:rsid w:val="30D12383"/>
    <w:rsid w:val="341977C5"/>
    <w:rsid w:val="37477126"/>
    <w:rsid w:val="38459A80"/>
    <w:rsid w:val="38EC74F0"/>
    <w:rsid w:val="397EE85F"/>
    <w:rsid w:val="39E995EF"/>
    <w:rsid w:val="39EEA994"/>
    <w:rsid w:val="3AAF940A"/>
    <w:rsid w:val="3AF976A6"/>
    <w:rsid w:val="3B565B7C"/>
    <w:rsid w:val="3C376DD9"/>
    <w:rsid w:val="3C6D68E8"/>
    <w:rsid w:val="3C88E570"/>
    <w:rsid w:val="3D6AF418"/>
    <w:rsid w:val="3EA453FC"/>
    <w:rsid w:val="403D59F9"/>
    <w:rsid w:val="427FFA9F"/>
    <w:rsid w:val="4383DB50"/>
    <w:rsid w:val="438AC96D"/>
    <w:rsid w:val="43A6BBBE"/>
    <w:rsid w:val="45346D03"/>
    <w:rsid w:val="45F66940"/>
    <w:rsid w:val="46B61B68"/>
    <w:rsid w:val="47CC2983"/>
    <w:rsid w:val="4B240964"/>
    <w:rsid w:val="4D96298D"/>
    <w:rsid w:val="4EC350F4"/>
    <w:rsid w:val="4F16F32D"/>
    <w:rsid w:val="5157F27C"/>
    <w:rsid w:val="51A410CC"/>
    <w:rsid w:val="52696A0F"/>
    <w:rsid w:val="529C6599"/>
    <w:rsid w:val="52CF9947"/>
    <w:rsid w:val="54ACD2E3"/>
    <w:rsid w:val="569E827E"/>
    <w:rsid w:val="57857411"/>
    <w:rsid w:val="5B52FE20"/>
    <w:rsid w:val="5C6490E5"/>
    <w:rsid w:val="6061CBDE"/>
    <w:rsid w:val="6242B457"/>
    <w:rsid w:val="6316C7E5"/>
    <w:rsid w:val="631728F3"/>
    <w:rsid w:val="636F9ED9"/>
    <w:rsid w:val="63F03D3A"/>
    <w:rsid w:val="65287A3E"/>
    <w:rsid w:val="6637B690"/>
    <w:rsid w:val="68279610"/>
    <w:rsid w:val="68D454F3"/>
    <w:rsid w:val="6AC93419"/>
    <w:rsid w:val="6C517614"/>
    <w:rsid w:val="6DD3DE68"/>
    <w:rsid w:val="6E855521"/>
    <w:rsid w:val="6EDEA054"/>
    <w:rsid w:val="6F6A55BD"/>
    <w:rsid w:val="6F91FF2D"/>
    <w:rsid w:val="70969932"/>
    <w:rsid w:val="70A4029F"/>
    <w:rsid w:val="70D12364"/>
    <w:rsid w:val="721E6053"/>
    <w:rsid w:val="7345C1D5"/>
    <w:rsid w:val="7392044A"/>
    <w:rsid w:val="74C2951F"/>
    <w:rsid w:val="75B91DB2"/>
    <w:rsid w:val="75F19749"/>
    <w:rsid w:val="764D72BD"/>
    <w:rsid w:val="7696BA8F"/>
    <w:rsid w:val="76EE4849"/>
    <w:rsid w:val="7710C34B"/>
    <w:rsid w:val="7764F254"/>
    <w:rsid w:val="77903E12"/>
    <w:rsid w:val="788CAEBA"/>
    <w:rsid w:val="79043AC2"/>
    <w:rsid w:val="7A53ED59"/>
    <w:rsid w:val="7DA0B686"/>
    <w:rsid w:val="7DD315AE"/>
    <w:rsid w:val="7EC336C8"/>
    <w:rsid w:val="7F99F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74C9"/>
  <w15:chartTrackingRefBased/>
  <w15:docId w15:val="{2DD85029-1DF9-4E79-AED3-9DB54C94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8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0B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97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38"/>
  </w:style>
  <w:style w:type="paragraph" w:styleId="Footer">
    <w:name w:val="footer"/>
    <w:basedOn w:val="Normal"/>
    <w:link w:val="FooterChar"/>
    <w:uiPriority w:val="99"/>
    <w:unhideWhenUsed/>
    <w:rsid w:val="00097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38"/>
  </w:style>
  <w:style w:type="character" w:styleId="Hyperlink">
    <w:name w:val="Hyperlink"/>
    <w:basedOn w:val="DefaultParagraphFont"/>
    <w:uiPriority w:val="99"/>
    <w:unhideWhenUsed/>
    <w:rsid w:val="00097F38"/>
    <w:rPr>
      <w:color w:val="0563C1" w:themeColor="hyperlink"/>
      <w:u w:val="single"/>
    </w:rPr>
  </w:style>
  <w:style w:type="character" w:styleId="UnresolvedMention">
    <w:name w:val="Unresolved Mention"/>
    <w:basedOn w:val="DefaultParagraphFont"/>
    <w:uiPriority w:val="99"/>
    <w:semiHidden/>
    <w:unhideWhenUsed/>
    <w:rsid w:val="00097F38"/>
    <w:rPr>
      <w:color w:val="605E5C"/>
      <w:shd w:val="clear" w:color="auto" w:fill="E1DFDD"/>
    </w:rPr>
  </w:style>
  <w:style w:type="character" w:styleId="FollowedHyperlink">
    <w:name w:val="FollowedHyperlink"/>
    <w:basedOn w:val="DefaultParagraphFont"/>
    <w:uiPriority w:val="99"/>
    <w:semiHidden/>
    <w:unhideWhenUsed/>
    <w:rsid w:val="0038564D"/>
    <w:rPr>
      <w:color w:val="954F72" w:themeColor="followedHyperlink"/>
      <w:u w:val="single"/>
    </w:rPr>
  </w:style>
  <w:style w:type="paragraph" w:styleId="Revision">
    <w:name w:val="Revision"/>
    <w:hidden/>
    <w:uiPriority w:val="99"/>
    <w:semiHidden/>
    <w:rsid w:val="0016126B"/>
    <w:pPr>
      <w:spacing w:after="0" w:line="240" w:lineRule="auto"/>
    </w:pPr>
  </w:style>
  <w:style w:type="character" w:styleId="CommentReference">
    <w:name w:val="annotation reference"/>
    <w:basedOn w:val="DefaultParagraphFont"/>
    <w:uiPriority w:val="99"/>
    <w:semiHidden/>
    <w:unhideWhenUsed/>
    <w:rsid w:val="001660FC"/>
    <w:rPr>
      <w:sz w:val="16"/>
      <w:szCs w:val="16"/>
    </w:rPr>
  </w:style>
  <w:style w:type="paragraph" w:styleId="CommentText">
    <w:name w:val="annotation text"/>
    <w:basedOn w:val="Normal"/>
    <w:link w:val="CommentTextChar"/>
    <w:uiPriority w:val="99"/>
    <w:unhideWhenUsed/>
    <w:rsid w:val="001660FC"/>
    <w:pPr>
      <w:spacing w:line="240" w:lineRule="auto"/>
    </w:pPr>
    <w:rPr>
      <w:sz w:val="20"/>
      <w:szCs w:val="20"/>
    </w:rPr>
  </w:style>
  <w:style w:type="character" w:customStyle="1" w:styleId="CommentTextChar">
    <w:name w:val="Comment Text Char"/>
    <w:basedOn w:val="DefaultParagraphFont"/>
    <w:link w:val="CommentText"/>
    <w:uiPriority w:val="99"/>
    <w:rsid w:val="001660FC"/>
    <w:rPr>
      <w:sz w:val="20"/>
      <w:szCs w:val="20"/>
    </w:rPr>
  </w:style>
  <w:style w:type="paragraph" w:styleId="CommentSubject">
    <w:name w:val="annotation subject"/>
    <w:basedOn w:val="CommentText"/>
    <w:next w:val="CommentText"/>
    <w:link w:val="CommentSubjectChar"/>
    <w:uiPriority w:val="99"/>
    <w:semiHidden/>
    <w:unhideWhenUsed/>
    <w:rsid w:val="001660FC"/>
    <w:rPr>
      <w:b/>
      <w:bCs/>
    </w:rPr>
  </w:style>
  <w:style w:type="character" w:customStyle="1" w:styleId="CommentSubjectChar">
    <w:name w:val="Comment Subject Char"/>
    <w:basedOn w:val="CommentTextChar"/>
    <w:link w:val="CommentSubject"/>
    <w:uiPriority w:val="99"/>
    <w:semiHidden/>
    <w:rsid w:val="001660FC"/>
    <w:rPr>
      <w:b/>
      <w:bCs/>
      <w:sz w:val="20"/>
      <w:szCs w:val="20"/>
    </w:rPr>
  </w:style>
  <w:style w:type="paragraph" w:styleId="NoSpacing">
    <w:name w:val="No Spacing"/>
    <w:uiPriority w:val="1"/>
    <w:qFormat/>
    <w:rsid w:val="00816BCD"/>
    <w:pPr>
      <w:spacing w:after="0" w:line="240" w:lineRule="auto"/>
    </w:pPr>
  </w:style>
  <w:style w:type="character" w:customStyle="1" w:styleId="Heading1Char">
    <w:name w:val="Heading 1 Char"/>
    <w:basedOn w:val="DefaultParagraphFont"/>
    <w:link w:val="Heading1"/>
    <w:uiPriority w:val="9"/>
    <w:rsid w:val="009F48F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6C55"/>
    <w:pPr>
      <w:outlineLvl w:val="9"/>
    </w:pPr>
  </w:style>
  <w:style w:type="paragraph" w:styleId="TOC1">
    <w:name w:val="toc 1"/>
    <w:basedOn w:val="Normal"/>
    <w:next w:val="Normal"/>
    <w:autoRedefine/>
    <w:uiPriority w:val="39"/>
    <w:unhideWhenUsed/>
    <w:rsid w:val="00DB7DA4"/>
    <w:pPr>
      <w:tabs>
        <w:tab w:val="right" w:leader="dot" w:pos="9350"/>
      </w:tabs>
      <w:spacing w:after="100"/>
    </w:pPr>
    <w:rPr>
      <w:b/>
      <w:bCs/>
      <w:noProof/>
    </w:rPr>
  </w:style>
  <w:style w:type="paragraph" w:styleId="ListParagraph">
    <w:name w:val="List Paragraph"/>
    <w:basedOn w:val="Normal"/>
    <w:uiPriority w:val="34"/>
    <w:qFormat/>
    <w:rsid w:val="005F6868"/>
    <w:pPr>
      <w:ind w:left="720"/>
      <w:contextualSpacing/>
    </w:pPr>
  </w:style>
  <w:style w:type="table" w:styleId="TableGrid">
    <w:name w:val="Table Grid"/>
    <w:basedOn w:val="TableNormal"/>
    <w:uiPriority w:val="39"/>
    <w:rsid w:val="001B6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4420">
      <w:bodyDiv w:val="1"/>
      <w:marLeft w:val="0"/>
      <w:marRight w:val="0"/>
      <w:marTop w:val="0"/>
      <w:marBottom w:val="0"/>
      <w:divBdr>
        <w:top w:val="none" w:sz="0" w:space="0" w:color="auto"/>
        <w:left w:val="none" w:sz="0" w:space="0" w:color="auto"/>
        <w:bottom w:val="none" w:sz="0" w:space="0" w:color="auto"/>
        <w:right w:val="none" w:sz="0" w:space="0" w:color="auto"/>
      </w:divBdr>
    </w:div>
    <w:div w:id="1382291136">
      <w:bodyDiv w:val="1"/>
      <w:marLeft w:val="0"/>
      <w:marRight w:val="0"/>
      <w:marTop w:val="0"/>
      <w:marBottom w:val="0"/>
      <w:divBdr>
        <w:top w:val="none" w:sz="0" w:space="0" w:color="auto"/>
        <w:left w:val="none" w:sz="0" w:space="0" w:color="auto"/>
        <w:bottom w:val="none" w:sz="0" w:space="0" w:color="auto"/>
        <w:right w:val="none" w:sz="0" w:space="0" w:color="auto"/>
      </w:divBdr>
      <w:divsChild>
        <w:div w:id="591470089">
          <w:marLeft w:val="0"/>
          <w:marRight w:val="0"/>
          <w:marTop w:val="0"/>
          <w:marBottom w:val="0"/>
          <w:divBdr>
            <w:top w:val="none" w:sz="0" w:space="0" w:color="auto"/>
            <w:left w:val="none" w:sz="0" w:space="0" w:color="auto"/>
            <w:bottom w:val="none" w:sz="0" w:space="0" w:color="auto"/>
            <w:right w:val="none" w:sz="0" w:space="0" w:color="auto"/>
          </w:divBdr>
        </w:div>
        <w:div w:id="1313369432">
          <w:marLeft w:val="0"/>
          <w:marRight w:val="0"/>
          <w:marTop w:val="0"/>
          <w:marBottom w:val="0"/>
          <w:divBdr>
            <w:top w:val="none" w:sz="0" w:space="0" w:color="auto"/>
            <w:left w:val="none" w:sz="0" w:space="0" w:color="auto"/>
            <w:bottom w:val="none" w:sz="0" w:space="0" w:color="auto"/>
            <w:right w:val="none" w:sz="0" w:space="0" w:color="auto"/>
          </w:divBdr>
        </w:div>
        <w:div w:id="616835270">
          <w:marLeft w:val="0"/>
          <w:marRight w:val="0"/>
          <w:marTop w:val="0"/>
          <w:marBottom w:val="0"/>
          <w:divBdr>
            <w:top w:val="none" w:sz="0" w:space="0" w:color="auto"/>
            <w:left w:val="none" w:sz="0" w:space="0" w:color="auto"/>
            <w:bottom w:val="none" w:sz="0" w:space="0" w:color="auto"/>
            <w:right w:val="none" w:sz="0" w:space="0" w:color="auto"/>
          </w:divBdr>
        </w:div>
        <w:div w:id="246771889">
          <w:marLeft w:val="0"/>
          <w:marRight w:val="0"/>
          <w:marTop w:val="0"/>
          <w:marBottom w:val="0"/>
          <w:divBdr>
            <w:top w:val="none" w:sz="0" w:space="0" w:color="auto"/>
            <w:left w:val="none" w:sz="0" w:space="0" w:color="auto"/>
            <w:bottom w:val="none" w:sz="0" w:space="0" w:color="auto"/>
            <w:right w:val="none" w:sz="0" w:space="0" w:color="auto"/>
          </w:divBdr>
        </w:div>
      </w:divsChild>
    </w:div>
    <w:div w:id="1723097039">
      <w:bodyDiv w:val="1"/>
      <w:marLeft w:val="0"/>
      <w:marRight w:val="0"/>
      <w:marTop w:val="0"/>
      <w:marBottom w:val="0"/>
      <w:divBdr>
        <w:top w:val="none" w:sz="0" w:space="0" w:color="auto"/>
        <w:left w:val="none" w:sz="0" w:space="0" w:color="auto"/>
        <w:bottom w:val="none" w:sz="0" w:space="0" w:color="auto"/>
        <w:right w:val="none" w:sz="0" w:space="0" w:color="auto"/>
      </w:divBdr>
      <w:divsChild>
        <w:div w:id="1693385038">
          <w:marLeft w:val="0"/>
          <w:marRight w:val="0"/>
          <w:marTop w:val="0"/>
          <w:marBottom w:val="0"/>
          <w:divBdr>
            <w:top w:val="none" w:sz="0" w:space="0" w:color="auto"/>
            <w:left w:val="none" w:sz="0" w:space="0" w:color="auto"/>
            <w:bottom w:val="none" w:sz="0" w:space="0" w:color="auto"/>
            <w:right w:val="none" w:sz="0" w:space="0" w:color="auto"/>
          </w:divBdr>
        </w:div>
        <w:div w:id="434788806">
          <w:marLeft w:val="0"/>
          <w:marRight w:val="0"/>
          <w:marTop w:val="0"/>
          <w:marBottom w:val="0"/>
          <w:divBdr>
            <w:top w:val="none" w:sz="0" w:space="0" w:color="auto"/>
            <w:left w:val="none" w:sz="0" w:space="0" w:color="auto"/>
            <w:bottom w:val="none" w:sz="0" w:space="0" w:color="auto"/>
            <w:right w:val="none" w:sz="0" w:space="0" w:color="auto"/>
          </w:divBdr>
        </w:div>
        <w:div w:id="48847971">
          <w:marLeft w:val="0"/>
          <w:marRight w:val="0"/>
          <w:marTop w:val="0"/>
          <w:marBottom w:val="0"/>
          <w:divBdr>
            <w:top w:val="none" w:sz="0" w:space="0" w:color="auto"/>
            <w:left w:val="none" w:sz="0" w:space="0" w:color="auto"/>
            <w:bottom w:val="none" w:sz="0" w:space="0" w:color="auto"/>
            <w:right w:val="none" w:sz="0" w:space="0" w:color="auto"/>
          </w:divBdr>
        </w:div>
        <w:div w:id="1928878012">
          <w:marLeft w:val="0"/>
          <w:marRight w:val="0"/>
          <w:marTop w:val="0"/>
          <w:marBottom w:val="0"/>
          <w:divBdr>
            <w:top w:val="none" w:sz="0" w:space="0" w:color="auto"/>
            <w:left w:val="none" w:sz="0" w:space="0" w:color="auto"/>
            <w:bottom w:val="none" w:sz="0" w:space="0" w:color="auto"/>
            <w:right w:val="none" w:sz="0" w:space="0" w:color="auto"/>
          </w:divBdr>
        </w:div>
      </w:divsChild>
    </w:div>
    <w:div w:id="21300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3172FDA2A1748BCBA0173EBF8A83D" ma:contentTypeVersion="16" ma:contentTypeDescription="Create a new document." ma:contentTypeScope="" ma:versionID="142ccee84b20f4e1a2a646440f3287fd">
  <xsd:schema xmlns:xsd="http://www.w3.org/2001/XMLSchema" xmlns:xs="http://www.w3.org/2001/XMLSchema" xmlns:p="http://schemas.microsoft.com/office/2006/metadata/properties" xmlns:ns2="ea016e09-3c1c-40c9-8054-912afee22689" xmlns:ns3="9a16073c-948e-48f3-88bc-e63d67b0e538" targetNamespace="http://schemas.microsoft.com/office/2006/metadata/properties" ma:root="true" ma:fieldsID="3e769dd0a044fb5c045e7acf62e0bdb4" ns2:_="" ns3:_="">
    <xsd:import namespace="ea016e09-3c1c-40c9-8054-912afee22689"/>
    <xsd:import namespace="9a16073c-948e-48f3-88bc-e63d67b0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16e09-3c1c-40c9-8054-912afee2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16073c-948e-48f3-88bc-e63d67b0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54c3b9-9f32-46e9-a678-4b6b8d647a9c}" ma:internalName="TaxCatchAll" ma:showField="CatchAllData" ma:web="9a16073c-948e-48f3-88bc-e63d67b0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016e09-3c1c-40c9-8054-912afee22689">
      <Terms xmlns="http://schemas.microsoft.com/office/infopath/2007/PartnerControls"/>
    </lcf76f155ced4ddcb4097134ff3c332f>
    <TaxCatchAll xmlns="9a16073c-948e-48f3-88bc-e63d67b0e538" xsi:nil="true"/>
    <Note xmlns="ea016e09-3c1c-40c9-8054-912afee226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ED4E-5D7A-4478-8467-E031C30E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16e09-3c1c-40c9-8054-912afee22689"/>
    <ds:schemaRef ds:uri="9a16073c-948e-48f3-88bc-e63d67b0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67736-DAB7-4B58-B5EE-DC830AA82930}">
  <ds:schemaRefs>
    <ds:schemaRef ds:uri="http://schemas.microsoft.com/office/2006/metadata/properties"/>
    <ds:schemaRef ds:uri="http://schemas.microsoft.com/office/infopath/2007/PartnerControls"/>
    <ds:schemaRef ds:uri="ea016e09-3c1c-40c9-8054-912afee22689"/>
    <ds:schemaRef ds:uri="9a16073c-948e-48f3-88bc-e63d67b0e538"/>
  </ds:schemaRefs>
</ds:datastoreItem>
</file>

<file path=customXml/itemProps3.xml><?xml version="1.0" encoding="utf-8"?>
<ds:datastoreItem xmlns:ds="http://schemas.openxmlformats.org/officeDocument/2006/customXml" ds:itemID="{9581F8C1-7431-4DFB-808C-9E7B214BD9F2}">
  <ds:schemaRefs>
    <ds:schemaRef ds:uri="http://schemas.microsoft.com/sharepoint/v3/contenttype/forms"/>
  </ds:schemaRefs>
</ds:datastoreItem>
</file>

<file path=customXml/itemProps4.xml><?xml version="1.0" encoding="utf-8"?>
<ds:datastoreItem xmlns:ds="http://schemas.openxmlformats.org/officeDocument/2006/customXml" ds:itemID="{4390360E-83A8-42C1-84AB-37DB58C4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5465</Words>
  <Characters>34980</Characters>
  <Application>Microsoft Office Word</Application>
  <DocSecurity>0</DocSecurity>
  <Lines>777</Lines>
  <Paragraphs>331</Paragraphs>
  <ScaleCrop>false</ScaleCrop>
  <Company>U.S. Department of Labor</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Gregory - ETA</dc:creator>
  <cp:keywords/>
  <dc:description/>
  <cp:lastModifiedBy>Green, Alexander M - ETA</cp:lastModifiedBy>
  <cp:revision>2</cp:revision>
  <dcterms:created xsi:type="dcterms:W3CDTF">2026-02-10T18:19:00Z</dcterms:created>
  <dcterms:modified xsi:type="dcterms:W3CDTF">2026-02-10T18:19:00Z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0x010100F083172FDA2A1748BCBA0173EBF8A83D</vt:lpwstr>
  </property>
  <property fmtid="{D5CDD505-2E9C-101B-9397-08002B2CF9AE}" pid="3" name="MediaServiceImageTags">
    <vt:lpwstr/>
  </property>
  <property fmtid="{D5CDD505-2E9C-101B-9397-08002B2CF9AE}" pid="4" name="docLang">
    <vt:lpwstr>en</vt:lpwstr>
  </property>
</Properties>
</file>