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048BF" w14:textId="5A42E5A8" w:rsidR="00EE485C" w:rsidRPr="0096084F" w:rsidRDefault="00D16A6C" w:rsidP="0096084F">
      <w:pPr>
        <w:jc w:val="center"/>
        <w:rPr>
          <w:b/>
          <w:bCs/>
          <w:sz w:val="24"/>
          <w:szCs w:val="24"/>
        </w:rPr>
      </w:pPr>
      <w:r w:rsidRPr="0096084F">
        <w:rPr>
          <w:b/>
          <w:bCs/>
          <w:sz w:val="24"/>
          <w:szCs w:val="24"/>
        </w:rPr>
        <w:t xml:space="preserve">Workflex </w:t>
      </w:r>
      <w:r w:rsidR="00E9490C">
        <w:rPr>
          <w:b/>
          <w:bCs/>
          <w:sz w:val="24"/>
          <w:szCs w:val="24"/>
        </w:rPr>
        <w:t xml:space="preserve">and </w:t>
      </w:r>
      <w:r w:rsidRPr="0096084F">
        <w:rPr>
          <w:b/>
          <w:bCs/>
          <w:sz w:val="24"/>
          <w:szCs w:val="24"/>
        </w:rPr>
        <w:t>Waiver Authority Side by Side</w:t>
      </w:r>
    </w:p>
    <w:p w14:paraId="7D76535F" w14:textId="77777777" w:rsidR="00D16A6C" w:rsidRDefault="00D16A6C"/>
    <w:tbl>
      <w:tblPr>
        <w:tblStyle w:val="TableGrid"/>
        <w:tblW w:w="0" w:type="auto"/>
        <w:tblLook w:val="04A0" w:firstRow="1" w:lastRow="0" w:firstColumn="1" w:lastColumn="0" w:noHBand="0" w:noVBand="1"/>
      </w:tblPr>
      <w:tblGrid>
        <w:gridCol w:w="2155"/>
        <w:gridCol w:w="3780"/>
        <w:gridCol w:w="3415"/>
      </w:tblGrid>
      <w:tr w:rsidR="00D16A6C" w14:paraId="75629B0A" w14:textId="77777777" w:rsidTr="00D16A6C">
        <w:tc>
          <w:tcPr>
            <w:tcW w:w="2155" w:type="dxa"/>
          </w:tcPr>
          <w:p w14:paraId="2034229E" w14:textId="77777777" w:rsidR="00D16A6C" w:rsidRDefault="00D16A6C"/>
        </w:tc>
        <w:tc>
          <w:tcPr>
            <w:tcW w:w="3780" w:type="dxa"/>
          </w:tcPr>
          <w:p w14:paraId="0B20D09B" w14:textId="0468DB84" w:rsidR="00D16A6C" w:rsidRPr="0096084F" w:rsidRDefault="00D16A6C" w:rsidP="00CC26A8">
            <w:pPr>
              <w:jc w:val="center"/>
              <w:rPr>
                <w:b/>
                <w:bCs/>
                <w:sz w:val="24"/>
                <w:szCs w:val="24"/>
              </w:rPr>
            </w:pPr>
            <w:r w:rsidRPr="0096084F">
              <w:rPr>
                <w:b/>
                <w:bCs/>
                <w:sz w:val="24"/>
                <w:szCs w:val="24"/>
              </w:rPr>
              <w:t>Work</w:t>
            </w:r>
            <w:r w:rsidR="007E229F" w:rsidRPr="0096084F">
              <w:rPr>
                <w:b/>
                <w:bCs/>
                <w:sz w:val="24"/>
                <w:szCs w:val="24"/>
              </w:rPr>
              <w:t>force Flexibility Plan</w:t>
            </w:r>
          </w:p>
        </w:tc>
        <w:tc>
          <w:tcPr>
            <w:tcW w:w="3415" w:type="dxa"/>
          </w:tcPr>
          <w:p w14:paraId="04EF8F8C" w14:textId="2C6272EA" w:rsidR="00D16A6C" w:rsidRPr="0096084F" w:rsidRDefault="007E229F" w:rsidP="00CC26A8">
            <w:pPr>
              <w:jc w:val="center"/>
              <w:rPr>
                <w:b/>
                <w:bCs/>
                <w:sz w:val="24"/>
                <w:szCs w:val="24"/>
              </w:rPr>
            </w:pPr>
            <w:r w:rsidRPr="0096084F">
              <w:rPr>
                <w:b/>
                <w:bCs/>
                <w:sz w:val="24"/>
                <w:szCs w:val="24"/>
              </w:rPr>
              <w:t xml:space="preserve">General </w:t>
            </w:r>
            <w:r w:rsidR="00D16A6C" w:rsidRPr="0096084F">
              <w:rPr>
                <w:b/>
                <w:bCs/>
                <w:sz w:val="24"/>
                <w:szCs w:val="24"/>
              </w:rPr>
              <w:t>Waiver Authority</w:t>
            </w:r>
          </w:p>
        </w:tc>
      </w:tr>
      <w:tr w:rsidR="00CC26A8" w14:paraId="0D93D1DD" w14:textId="77777777" w:rsidTr="0096084F">
        <w:tc>
          <w:tcPr>
            <w:tcW w:w="9350" w:type="dxa"/>
            <w:gridSpan w:val="3"/>
            <w:shd w:val="clear" w:color="auto" w:fill="D9F2D0" w:themeFill="accent6" w:themeFillTint="33"/>
          </w:tcPr>
          <w:p w14:paraId="039F33D3" w14:textId="6A25F251" w:rsidR="00CC26A8" w:rsidRDefault="00CC26A8"/>
        </w:tc>
      </w:tr>
      <w:tr w:rsidR="00D16A6C" w14:paraId="71C6E4CC" w14:textId="77777777" w:rsidTr="00D16A6C">
        <w:tc>
          <w:tcPr>
            <w:tcW w:w="2155" w:type="dxa"/>
          </w:tcPr>
          <w:p w14:paraId="3BA525E3" w14:textId="3112646E" w:rsidR="00D16A6C" w:rsidRDefault="00D16A6C">
            <w:r>
              <w:t>What can be waived?</w:t>
            </w:r>
          </w:p>
        </w:tc>
        <w:tc>
          <w:tcPr>
            <w:tcW w:w="3780" w:type="dxa"/>
          </w:tcPr>
          <w:p w14:paraId="49AB4B68" w14:textId="745A9C62" w:rsidR="00D16A6C" w:rsidRDefault="00CC26A8">
            <w:r>
              <w:t>Secretary may approve a plan to authorize the State to waive a</w:t>
            </w:r>
            <w:r w:rsidR="00D16A6C">
              <w:t>ny statutory or regulatory requirements applicable under Title I to local areas, Sections 8-10 of Wagner-Peyser Act and Older Americans Act</w:t>
            </w:r>
          </w:p>
        </w:tc>
        <w:tc>
          <w:tcPr>
            <w:tcW w:w="3415" w:type="dxa"/>
          </w:tcPr>
          <w:p w14:paraId="4B78BBBB" w14:textId="2D00DAEA" w:rsidR="00D16A6C" w:rsidRDefault="00CC26A8">
            <w:r>
              <w:t>Secretary may waive for a State or local area in a State submitted by the Governor of the State a</w:t>
            </w:r>
            <w:r w:rsidR="007D6968">
              <w:t>ny statutory or regulatory requirements of subtitle A, B or E, and requirements of section 8-10 of the Wagner-Peyser Act</w:t>
            </w:r>
          </w:p>
        </w:tc>
      </w:tr>
      <w:tr w:rsidR="00D16A6C" w14:paraId="694EFEB3" w14:textId="77777777" w:rsidTr="00D16A6C">
        <w:tc>
          <w:tcPr>
            <w:tcW w:w="2155" w:type="dxa"/>
          </w:tcPr>
          <w:p w14:paraId="76446D94" w14:textId="03614E58" w:rsidR="00D16A6C" w:rsidRDefault="00D16A6C">
            <w:r>
              <w:t>Exceptions</w:t>
            </w:r>
          </w:p>
        </w:tc>
        <w:tc>
          <w:tcPr>
            <w:tcW w:w="3780" w:type="dxa"/>
          </w:tcPr>
          <w:p w14:paraId="3A2CB031" w14:textId="4050AD24" w:rsidR="00D16A6C" w:rsidRDefault="00CC26A8">
            <w:r>
              <w:t>WIOA Title 1 - Requirements relating to the b</w:t>
            </w:r>
            <w:r w:rsidR="00D16A6C">
              <w:t>asic purpose</w:t>
            </w:r>
            <w:r>
              <w:t>s</w:t>
            </w:r>
            <w:r w:rsidR="00D16A6C">
              <w:t xml:space="preserve"> of Title 1 of WIOA, wage and labor standards, </w:t>
            </w:r>
            <w:r w:rsidR="00962CD4">
              <w:t>grievance procedures and judicial review, non-discrimination, eligibility of participants, allocation of funds to local areas, establishment and functions of local areas and local boards, procedures for review and approval of local plans and worker rights, participation and protection</w:t>
            </w:r>
          </w:p>
        </w:tc>
        <w:tc>
          <w:tcPr>
            <w:tcW w:w="3415" w:type="dxa"/>
          </w:tcPr>
          <w:p w14:paraId="5F701127" w14:textId="1E528924" w:rsidR="00D16A6C" w:rsidRDefault="007D6968">
            <w:r>
              <w:t>Requirements relating to wage and labor standards, including non-displacement protections, worker rights, participation and protection of workers and participants, grievance procedures and judicial review, non-discrimination, allocation of funds to local areas, eligibility of providers or participants, the establishment and functions of local areas and local boards, the funding of infrastructure costs for one-stop centers, and procedures for review and approval of p</w:t>
            </w:r>
            <w:r w:rsidR="007E229F">
              <w:t>lans and other requirements relating to basic purpose of Title 1</w:t>
            </w:r>
          </w:p>
        </w:tc>
      </w:tr>
      <w:tr w:rsidR="00D16A6C" w14:paraId="5A760A6A" w14:textId="77777777" w:rsidTr="00D16A6C">
        <w:tc>
          <w:tcPr>
            <w:tcW w:w="2155" w:type="dxa"/>
          </w:tcPr>
          <w:p w14:paraId="168E0AB2" w14:textId="77777777" w:rsidR="00D16A6C" w:rsidRDefault="00D16A6C"/>
        </w:tc>
        <w:tc>
          <w:tcPr>
            <w:tcW w:w="3780" w:type="dxa"/>
          </w:tcPr>
          <w:p w14:paraId="623D1731" w14:textId="0F4C5CCF" w:rsidR="00D16A6C" w:rsidRDefault="00CC26A8">
            <w:r>
              <w:t xml:space="preserve">Wagner-Peyser - </w:t>
            </w:r>
            <w:r w:rsidR="00962CD4">
              <w:t>Requirements relating to the provision of services to unemployment insurance claimants and veterans, and requirements relating to universal access to basic labor exchange services without cost to jobseekers</w:t>
            </w:r>
          </w:p>
        </w:tc>
        <w:tc>
          <w:tcPr>
            <w:tcW w:w="3415" w:type="dxa"/>
          </w:tcPr>
          <w:p w14:paraId="5CAFAC68" w14:textId="775E323F" w:rsidR="00D16A6C" w:rsidRDefault="007E229F">
            <w:r>
              <w:t xml:space="preserve"> Same as Workflex </w:t>
            </w:r>
          </w:p>
        </w:tc>
      </w:tr>
      <w:tr w:rsidR="00D16A6C" w14:paraId="3C00692A" w14:textId="77777777" w:rsidTr="00D16A6C">
        <w:tc>
          <w:tcPr>
            <w:tcW w:w="2155" w:type="dxa"/>
          </w:tcPr>
          <w:p w14:paraId="7D7A6F47" w14:textId="77777777" w:rsidR="00D16A6C" w:rsidRDefault="00D16A6C"/>
        </w:tc>
        <w:tc>
          <w:tcPr>
            <w:tcW w:w="3780" w:type="dxa"/>
          </w:tcPr>
          <w:p w14:paraId="5D0BF0C6" w14:textId="2DFC2BFA" w:rsidR="00D16A6C" w:rsidRDefault="00CC26A8">
            <w:r>
              <w:t xml:space="preserve">Older Americans - </w:t>
            </w:r>
            <w:r w:rsidR="00962CD4">
              <w:t>Requirements relating to Basic purpose of the act, wage and labor standards, eligibility of participants in the activities and standards for grant agreements</w:t>
            </w:r>
          </w:p>
        </w:tc>
        <w:tc>
          <w:tcPr>
            <w:tcW w:w="3415" w:type="dxa"/>
          </w:tcPr>
          <w:p w14:paraId="2E20D10B" w14:textId="6D445D13" w:rsidR="00D16A6C" w:rsidRDefault="007E229F">
            <w:r>
              <w:t>Not applicable</w:t>
            </w:r>
          </w:p>
        </w:tc>
      </w:tr>
      <w:tr w:rsidR="00CC26A8" w14:paraId="74E8B6CE" w14:textId="77777777" w:rsidTr="00D16A6C">
        <w:tc>
          <w:tcPr>
            <w:tcW w:w="2155" w:type="dxa"/>
          </w:tcPr>
          <w:p w14:paraId="042ED56A" w14:textId="6CDE7468" w:rsidR="00CC26A8" w:rsidRDefault="00CC26A8">
            <w:r>
              <w:t>Approval Timeline</w:t>
            </w:r>
          </w:p>
        </w:tc>
        <w:tc>
          <w:tcPr>
            <w:tcW w:w="3780" w:type="dxa"/>
          </w:tcPr>
          <w:p w14:paraId="13BDEBF9" w14:textId="3FA13552" w:rsidR="00CC26A8" w:rsidRDefault="00CC26A8">
            <w:r>
              <w:t>A period of not more than 5 years</w:t>
            </w:r>
          </w:p>
        </w:tc>
        <w:tc>
          <w:tcPr>
            <w:tcW w:w="3415" w:type="dxa"/>
          </w:tcPr>
          <w:p w14:paraId="7812663A" w14:textId="592B8D88" w:rsidR="00CC26A8" w:rsidRDefault="00CC26A8">
            <w:r>
              <w:t>Full life of WIOA Unified or Combined State Plan</w:t>
            </w:r>
          </w:p>
        </w:tc>
      </w:tr>
    </w:tbl>
    <w:p w14:paraId="4914D5F3" w14:textId="77777777" w:rsidR="00D16A6C" w:rsidRDefault="00D16A6C"/>
    <w:sectPr w:rsidR="00D16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A6C"/>
    <w:rsid w:val="00215573"/>
    <w:rsid w:val="0029631C"/>
    <w:rsid w:val="0045176E"/>
    <w:rsid w:val="006F0012"/>
    <w:rsid w:val="007D6968"/>
    <w:rsid w:val="007E229F"/>
    <w:rsid w:val="0096084F"/>
    <w:rsid w:val="00962CD4"/>
    <w:rsid w:val="00CC26A8"/>
    <w:rsid w:val="00D16A6C"/>
    <w:rsid w:val="00E9490C"/>
    <w:rsid w:val="00EE485C"/>
    <w:rsid w:val="00F05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BEB6"/>
  <w15:chartTrackingRefBased/>
  <w15:docId w15:val="{42711C93-9C9C-4D13-8E33-B9286282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A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A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A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A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A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A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A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A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A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A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A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A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A6C"/>
    <w:rPr>
      <w:rFonts w:eastAsiaTheme="majorEastAsia" w:cstheme="majorBidi"/>
      <w:color w:val="272727" w:themeColor="text1" w:themeTint="D8"/>
    </w:rPr>
  </w:style>
  <w:style w:type="paragraph" w:styleId="Title">
    <w:name w:val="Title"/>
    <w:basedOn w:val="Normal"/>
    <w:next w:val="Normal"/>
    <w:link w:val="TitleChar"/>
    <w:uiPriority w:val="10"/>
    <w:qFormat/>
    <w:rsid w:val="00D16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A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A6C"/>
    <w:pPr>
      <w:spacing w:before="160"/>
      <w:jc w:val="center"/>
    </w:pPr>
    <w:rPr>
      <w:i/>
      <w:iCs/>
      <w:color w:val="404040" w:themeColor="text1" w:themeTint="BF"/>
    </w:rPr>
  </w:style>
  <w:style w:type="character" w:customStyle="1" w:styleId="QuoteChar">
    <w:name w:val="Quote Char"/>
    <w:basedOn w:val="DefaultParagraphFont"/>
    <w:link w:val="Quote"/>
    <w:uiPriority w:val="29"/>
    <w:rsid w:val="00D16A6C"/>
    <w:rPr>
      <w:i/>
      <w:iCs/>
      <w:color w:val="404040" w:themeColor="text1" w:themeTint="BF"/>
    </w:rPr>
  </w:style>
  <w:style w:type="paragraph" w:styleId="ListParagraph">
    <w:name w:val="List Paragraph"/>
    <w:basedOn w:val="Normal"/>
    <w:uiPriority w:val="34"/>
    <w:qFormat/>
    <w:rsid w:val="00D16A6C"/>
    <w:pPr>
      <w:ind w:left="720"/>
      <w:contextualSpacing/>
    </w:pPr>
  </w:style>
  <w:style w:type="character" w:styleId="IntenseEmphasis">
    <w:name w:val="Intense Emphasis"/>
    <w:basedOn w:val="DefaultParagraphFont"/>
    <w:uiPriority w:val="21"/>
    <w:qFormat/>
    <w:rsid w:val="00D16A6C"/>
    <w:rPr>
      <w:i/>
      <w:iCs/>
      <w:color w:val="0F4761" w:themeColor="accent1" w:themeShade="BF"/>
    </w:rPr>
  </w:style>
  <w:style w:type="paragraph" w:styleId="IntenseQuote">
    <w:name w:val="Intense Quote"/>
    <w:basedOn w:val="Normal"/>
    <w:next w:val="Normal"/>
    <w:link w:val="IntenseQuoteChar"/>
    <w:uiPriority w:val="30"/>
    <w:qFormat/>
    <w:rsid w:val="00D16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A6C"/>
    <w:rPr>
      <w:i/>
      <w:iCs/>
      <w:color w:val="0F4761" w:themeColor="accent1" w:themeShade="BF"/>
    </w:rPr>
  </w:style>
  <w:style w:type="character" w:styleId="IntenseReference">
    <w:name w:val="Intense Reference"/>
    <w:basedOn w:val="DefaultParagraphFont"/>
    <w:uiPriority w:val="32"/>
    <w:qFormat/>
    <w:rsid w:val="00D16A6C"/>
    <w:rPr>
      <w:b/>
      <w:bCs/>
      <w:smallCaps/>
      <w:color w:val="0F4761" w:themeColor="accent1" w:themeShade="BF"/>
      <w:spacing w:val="5"/>
    </w:rPr>
  </w:style>
  <w:style w:type="table" w:styleId="TableGrid">
    <w:name w:val="Table Grid"/>
    <w:basedOn w:val="TableNormal"/>
    <w:uiPriority w:val="39"/>
    <w:rsid w:val="00D16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93CD8E-F5F4-496A-829B-411A65CE83C5}"/>
</file>

<file path=customXml/itemProps2.xml><?xml version="1.0" encoding="utf-8"?>
<ds:datastoreItem xmlns:ds="http://schemas.openxmlformats.org/officeDocument/2006/customXml" ds:itemID="{BC399EC7-64E4-413E-9D72-390F25B50CA3}"/>
</file>

<file path=customXml/itemProps3.xml><?xml version="1.0" encoding="utf-8"?>
<ds:datastoreItem xmlns:ds="http://schemas.openxmlformats.org/officeDocument/2006/customXml" ds:itemID="{11D7AB2A-8FA0-4DD4-8D82-A164043A00B3}"/>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Antiri, Crystal - ETA</dc:creator>
  <cp:keywords/>
  <dc:description/>
  <cp:lastModifiedBy>Antiri, Crystal - ETA</cp:lastModifiedBy>
  <cp:revision>2</cp:revision>
  <cp:lastPrinted>2025-07-15T15:19:00Z</cp:lastPrinted>
  <dcterms:created xsi:type="dcterms:W3CDTF">2025-07-15T15:35:00Z</dcterms:created>
  <dcterms:modified xsi:type="dcterms:W3CDTF">2025-07-15T15:35:00Z</dcterms:modified>
</cp:coreProperties>
</file>