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8F709" w14:textId="77777777" w:rsidR="00A13875" w:rsidRDefault="00A13875" w:rsidP="004574B2">
      <w:pPr>
        <w:jc w:val="center"/>
        <w:rPr>
          <w:sz w:val="28"/>
          <w:szCs w:val="28"/>
        </w:rPr>
      </w:pPr>
      <w:r>
        <w:rPr>
          <w:sz w:val="28"/>
          <w:szCs w:val="28"/>
        </w:rPr>
        <w:t>Approved W</w:t>
      </w:r>
      <w:bookmarkStart w:id="0" w:name="_GoBack"/>
      <w:bookmarkEnd w:id="0"/>
      <w:r>
        <w:rPr>
          <w:sz w:val="28"/>
          <w:szCs w:val="28"/>
        </w:rPr>
        <w:t xml:space="preserve">IOA Waivers by Waiver </w:t>
      </w:r>
      <w:r w:rsidR="004574B2">
        <w:rPr>
          <w:sz w:val="28"/>
          <w:szCs w:val="28"/>
        </w:rPr>
        <w:t>Type</w:t>
      </w:r>
    </w:p>
    <w:p w14:paraId="2D99E69E" w14:textId="55DCE321" w:rsidR="00E03C45" w:rsidRPr="004574B2" w:rsidRDefault="00A13875" w:rsidP="004574B2">
      <w:pPr>
        <w:jc w:val="center"/>
        <w:rPr>
          <w:sz w:val="28"/>
          <w:szCs w:val="28"/>
        </w:rPr>
      </w:pPr>
      <w:r w:rsidRPr="003139E0">
        <w:rPr>
          <w:sz w:val="20"/>
          <w:szCs w:val="20"/>
        </w:rPr>
        <w:t xml:space="preserve">Updated </w:t>
      </w:r>
      <w:r w:rsidR="00B5667A">
        <w:rPr>
          <w:sz w:val="20"/>
          <w:szCs w:val="20"/>
        </w:rPr>
        <w:t>August 1</w:t>
      </w:r>
      <w:r w:rsidRPr="003139E0">
        <w:rPr>
          <w:sz w:val="20"/>
          <w:szCs w:val="20"/>
        </w:rPr>
        <w:t>, 2019</w:t>
      </w:r>
      <w:r w:rsidR="004574B2">
        <w:rPr>
          <w:sz w:val="28"/>
          <w:szCs w:val="28"/>
        </w:rPr>
        <w:t xml:space="preserve"> </w:t>
      </w:r>
    </w:p>
    <w:p w14:paraId="043106C8" w14:textId="77777777" w:rsidR="003C6491" w:rsidRPr="003139E0" w:rsidRDefault="003C6491">
      <w:pPr>
        <w:rPr>
          <w:b/>
          <w:sz w:val="24"/>
          <w:szCs w:val="24"/>
        </w:rPr>
      </w:pPr>
      <w:r w:rsidRPr="003139E0">
        <w:rPr>
          <w:b/>
          <w:sz w:val="24"/>
          <w:szCs w:val="24"/>
        </w:rPr>
        <w:t>Waiver of the obligation of eligible training providers to collect performance data on all students in a training program</w:t>
      </w:r>
      <w:r w:rsidR="00A13875">
        <w:rPr>
          <w:b/>
          <w:sz w:val="24"/>
          <w:szCs w:val="24"/>
        </w:rPr>
        <w:t>.</w:t>
      </w:r>
    </w:p>
    <w:p w14:paraId="67DDCFCA" w14:textId="77777777" w:rsidR="00310D3D" w:rsidRDefault="00FA39F4">
      <w:pPr>
        <w:rPr>
          <w:sz w:val="24"/>
          <w:szCs w:val="24"/>
        </w:rPr>
      </w:pPr>
      <w:r w:rsidRPr="00FA39F4">
        <w:rPr>
          <w:sz w:val="24"/>
          <w:szCs w:val="24"/>
        </w:rPr>
        <w:t xml:space="preserve">Key WIOA and Regulatory Citations:  </w:t>
      </w:r>
      <w:r w:rsidR="00310D3D" w:rsidRPr="003139E0">
        <w:rPr>
          <w:sz w:val="24"/>
          <w:szCs w:val="24"/>
        </w:rPr>
        <w:t>WIOA Sections 116(d)(4)(A) and 122, and 20 CR 677.230(a)(4) and (5), and 20 CFR 680</w:t>
      </w:r>
      <w:r w:rsidR="00A13875">
        <w:rPr>
          <w:sz w:val="24"/>
          <w:szCs w:val="24"/>
        </w:rPr>
        <w:t>.</w:t>
      </w:r>
    </w:p>
    <w:p w14:paraId="17F04E06" w14:textId="10763B57" w:rsidR="003C6491" w:rsidRPr="003139E0" w:rsidRDefault="00A13875" w:rsidP="003139E0">
      <w:pPr>
        <w:rPr>
          <w:sz w:val="24"/>
          <w:szCs w:val="24"/>
        </w:rPr>
      </w:pPr>
      <w:r>
        <w:rPr>
          <w:sz w:val="24"/>
          <w:szCs w:val="24"/>
        </w:rPr>
        <w:t xml:space="preserve">Approved for:  </w:t>
      </w:r>
      <w:r w:rsidR="003C6491" w:rsidRPr="004574B2">
        <w:rPr>
          <w:sz w:val="24"/>
          <w:szCs w:val="24"/>
        </w:rPr>
        <w:t>Connecticut</w:t>
      </w:r>
      <w:r>
        <w:rPr>
          <w:sz w:val="24"/>
          <w:szCs w:val="24"/>
        </w:rPr>
        <w:t xml:space="preserve">, </w:t>
      </w:r>
      <w:r w:rsidR="003C6491" w:rsidRPr="003139E0">
        <w:rPr>
          <w:sz w:val="24"/>
          <w:szCs w:val="24"/>
        </w:rPr>
        <w:t>Delaware</w:t>
      </w:r>
      <w:r>
        <w:rPr>
          <w:sz w:val="24"/>
          <w:szCs w:val="24"/>
        </w:rPr>
        <w:t xml:space="preserve">, </w:t>
      </w:r>
      <w:r w:rsidR="003C6491" w:rsidRPr="004574B2">
        <w:rPr>
          <w:sz w:val="24"/>
          <w:szCs w:val="24"/>
        </w:rPr>
        <w:t>Georgia</w:t>
      </w:r>
      <w:r>
        <w:rPr>
          <w:sz w:val="24"/>
          <w:szCs w:val="24"/>
        </w:rPr>
        <w:t xml:space="preserve">, </w:t>
      </w:r>
      <w:r w:rsidR="004574B2">
        <w:rPr>
          <w:sz w:val="24"/>
          <w:szCs w:val="24"/>
        </w:rPr>
        <w:t>Idaho</w:t>
      </w:r>
      <w:r>
        <w:rPr>
          <w:sz w:val="24"/>
          <w:szCs w:val="24"/>
        </w:rPr>
        <w:t xml:space="preserve">, </w:t>
      </w:r>
      <w:r w:rsidR="003C6491" w:rsidRPr="004574B2">
        <w:rPr>
          <w:sz w:val="24"/>
          <w:szCs w:val="24"/>
        </w:rPr>
        <w:t>Illinois</w:t>
      </w:r>
      <w:r w:rsidR="003139E0">
        <w:rPr>
          <w:sz w:val="24"/>
          <w:szCs w:val="24"/>
        </w:rPr>
        <w:t xml:space="preserve">, </w:t>
      </w:r>
      <w:r w:rsidR="003C6491" w:rsidRPr="004574B2">
        <w:rPr>
          <w:sz w:val="24"/>
          <w:szCs w:val="24"/>
        </w:rPr>
        <w:t>Iowa</w:t>
      </w:r>
      <w:r w:rsidR="003139E0">
        <w:rPr>
          <w:sz w:val="24"/>
          <w:szCs w:val="24"/>
        </w:rPr>
        <w:t xml:space="preserve">, </w:t>
      </w:r>
      <w:r w:rsidR="00092E6E">
        <w:rPr>
          <w:sz w:val="24"/>
          <w:szCs w:val="24"/>
        </w:rPr>
        <w:t xml:space="preserve">Kentucky, </w:t>
      </w:r>
      <w:r w:rsidR="003C6491" w:rsidRPr="003139E0">
        <w:rPr>
          <w:sz w:val="24"/>
          <w:szCs w:val="24"/>
        </w:rPr>
        <w:t>Massachusetts</w:t>
      </w:r>
      <w:r w:rsidR="003139E0">
        <w:rPr>
          <w:sz w:val="24"/>
          <w:szCs w:val="24"/>
        </w:rPr>
        <w:t xml:space="preserve">, </w:t>
      </w:r>
      <w:r w:rsidR="003C6491" w:rsidRPr="003139E0">
        <w:rPr>
          <w:sz w:val="24"/>
          <w:szCs w:val="24"/>
        </w:rPr>
        <w:t>Michigan</w:t>
      </w:r>
      <w:r w:rsidR="003139E0">
        <w:rPr>
          <w:sz w:val="24"/>
          <w:szCs w:val="24"/>
        </w:rPr>
        <w:t xml:space="preserve">, </w:t>
      </w:r>
      <w:r w:rsidR="00310D3D" w:rsidRPr="003139E0">
        <w:rPr>
          <w:sz w:val="24"/>
          <w:szCs w:val="24"/>
        </w:rPr>
        <w:t>Missouri</w:t>
      </w:r>
      <w:r w:rsidR="003139E0">
        <w:rPr>
          <w:sz w:val="24"/>
          <w:szCs w:val="24"/>
        </w:rPr>
        <w:t xml:space="preserve">, </w:t>
      </w:r>
      <w:r w:rsidR="00092E6E">
        <w:rPr>
          <w:sz w:val="24"/>
          <w:szCs w:val="24"/>
        </w:rPr>
        <w:t xml:space="preserve">Montana, Nebraska, </w:t>
      </w:r>
      <w:r w:rsidR="003C6491" w:rsidRPr="003139E0">
        <w:rPr>
          <w:sz w:val="24"/>
          <w:szCs w:val="24"/>
        </w:rPr>
        <w:t>Nevada</w:t>
      </w:r>
      <w:r w:rsidR="003139E0">
        <w:rPr>
          <w:sz w:val="24"/>
          <w:szCs w:val="24"/>
        </w:rPr>
        <w:t xml:space="preserve">, </w:t>
      </w:r>
      <w:r w:rsidR="003C6491" w:rsidRPr="003139E0">
        <w:rPr>
          <w:sz w:val="24"/>
          <w:szCs w:val="24"/>
        </w:rPr>
        <w:t>New Hampshire</w:t>
      </w:r>
      <w:r w:rsidR="003139E0">
        <w:rPr>
          <w:sz w:val="24"/>
          <w:szCs w:val="24"/>
        </w:rPr>
        <w:t xml:space="preserve">, </w:t>
      </w:r>
      <w:r w:rsidR="00092E6E">
        <w:rPr>
          <w:sz w:val="24"/>
          <w:szCs w:val="24"/>
        </w:rPr>
        <w:t xml:space="preserve">New Jersey, </w:t>
      </w:r>
      <w:r w:rsidR="003C6491" w:rsidRPr="003139E0">
        <w:rPr>
          <w:sz w:val="24"/>
          <w:szCs w:val="24"/>
        </w:rPr>
        <w:t>North Carolina</w:t>
      </w:r>
      <w:r w:rsidR="003139E0">
        <w:rPr>
          <w:sz w:val="24"/>
          <w:szCs w:val="24"/>
        </w:rPr>
        <w:t xml:space="preserve">, </w:t>
      </w:r>
      <w:r w:rsidR="003C6491" w:rsidRPr="003139E0">
        <w:rPr>
          <w:sz w:val="24"/>
          <w:szCs w:val="24"/>
        </w:rPr>
        <w:t>North Dakota</w:t>
      </w:r>
      <w:r w:rsidR="003139E0">
        <w:rPr>
          <w:sz w:val="24"/>
          <w:szCs w:val="24"/>
        </w:rPr>
        <w:t xml:space="preserve">, </w:t>
      </w:r>
      <w:r w:rsidR="003C6491" w:rsidRPr="003139E0">
        <w:rPr>
          <w:sz w:val="24"/>
          <w:szCs w:val="24"/>
        </w:rPr>
        <w:t>Ohio</w:t>
      </w:r>
      <w:r w:rsidR="003139E0">
        <w:rPr>
          <w:sz w:val="24"/>
          <w:szCs w:val="24"/>
        </w:rPr>
        <w:t xml:space="preserve">, </w:t>
      </w:r>
      <w:r w:rsidR="003C6491" w:rsidRPr="003139E0">
        <w:rPr>
          <w:sz w:val="24"/>
          <w:szCs w:val="24"/>
        </w:rPr>
        <w:t>Puerto Rico</w:t>
      </w:r>
      <w:r w:rsidR="003139E0">
        <w:rPr>
          <w:sz w:val="24"/>
          <w:szCs w:val="24"/>
        </w:rPr>
        <w:t xml:space="preserve">, </w:t>
      </w:r>
      <w:r w:rsidR="003C6491" w:rsidRPr="003139E0">
        <w:rPr>
          <w:sz w:val="24"/>
          <w:szCs w:val="24"/>
        </w:rPr>
        <w:t>Rhode Island</w:t>
      </w:r>
      <w:r w:rsidR="003139E0">
        <w:rPr>
          <w:sz w:val="24"/>
          <w:szCs w:val="24"/>
        </w:rPr>
        <w:t xml:space="preserve">, </w:t>
      </w:r>
      <w:r w:rsidR="003C6491" w:rsidRPr="003139E0">
        <w:rPr>
          <w:sz w:val="24"/>
          <w:szCs w:val="24"/>
        </w:rPr>
        <w:t>South Carolina</w:t>
      </w:r>
      <w:r w:rsidR="003139E0">
        <w:rPr>
          <w:sz w:val="24"/>
          <w:szCs w:val="24"/>
        </w:rPr>
        <w:t xml:space="preserve">, </w:t>
      </w:r>
      <w:r w:rsidR="003C6491" w:rsidRPr="003139E0">
        <w:rPr>
          <w:sz w:val="24"/>
          <w:szCs w:val="24"/>
        </w:rPr>
        <w:t>South Dakota</w:t>
      </w:r>
      <w:r w:rsidR="003139E0">
        <w:rPr>
          <w:sz w:val="24"/>
          <w:szCs w:val="24"/>
        </w:rPr>
        <w:t xml:space="preserve">, </w:t>
      </w:r>
      <w:r w:rsidR="003C6491" w:rsidRPr="003139E0">
        <w:rPr>
          <w:sz w:val="24"/>
          <w:szCs w:val="24"/>
        </w:rPr>
        <w:t>Tennessee</w:t>
      </w:r>
      <w:r w:rsidR="003139E0">
        <w:rPr>
          <w:sz w:val="24"/>
          <w:szCs w:val="24"/>
        </w:rPr>
        <w:t xml:space="preserve">, </w:t>
      </w:r>
      <w:r w:rsidR="003C6491" w:rsidRPr="003139E0">
        <w:rPr>
          <w:sz w:val="24"/>
          <w:szCs w:val="24"/>
        </w:rPr>
        <w:t>Texas</w:t>
      </w:r>
      <w:r w:rsidR="00E36DCD">
        <w:rPr>
          <w:sz w:val="24"/>
          <w:szCs w:val="24"/>
        </w:rPr>
        <w:t>,</w:t>
      </w:r>
      <w:r w:rsidR="003139E0">
        <w:rPr>
          <w:sz w:val="24"/>
          <w:szCs w:val="24"/>
        </w:rPr>
        <w:t xml:space="preserve"> </w:t>
      </w:r>
      <w:r w:rsidR="003C6491" w:rsidRPr="003139E0">
        <w:rPr>
          <w:sz w:val="24"/>
          <w:szCs w:val="24"/>
        </w:rPr>
        <w:t>Virgin Islands</w:t>
      </w:r>
      <w:r w:rsidR="00092E6E">
        <w:rPr>
          <w:sz w:val="24"/>
          <w:szCs w:val="24"/>
        </w:rPr>
        <w:t>, Virginia,</w:t>
      </w:r>
      <w:r w:rsidR="00E36DCD">
        <w:rPr>
          <w:sz w:val="24"/>
          <w:szCs w:val="24"/>
        </w:rPr>
        <w:t xml:space="preserve"> Wisconsin (partial approval)</w:t>
      </w:r>
      <w:r w:rsidR="00092E6E">
        <w:rPr>
          <w:sz w:val="24"/>
          <w:szCs w:val="24"/>
        </w:rPr>
        <w:t xml:space="preserve"> and Wyoming</w:t>
      </w:r>
    </w:p>
    <w:p w14:paraId="78EDF293" w14:textId="77777777" w:rsidR="003C6491" w:rsidRPr="003139E0" w:rsidRDefault="003C6491">
      <w:pPr>
        <w:rPr>
          <w:b/>
          <w:sz w:val="24"/>
          <w:szCs w:val="24"/>
        </w:rPr>
      </w:pPr>
      <w:r w:rsidRPr="003139E0">
        <w:rPr>
          <w:b/>
          <w:sz w:val="24"/>
          <w:szCs w:val="24"/>
        </w:rPr>
        <w:t xml:space="preserve">Waiver of the requirement that states and local areas expend 75 percent of all Governor’s reserve and local formula youth funds on out-of-school youth.   </w:t>
      </w:r>
    </w:p>
    <w:p w14:paraId="5B7FECA8" w14:textId="77777777" w:rsidR="00310D3D" w:rsidRDefault="00FA39F4">
      <w:pPr>
        <w:rPr>
          <w:sz w:val="24"/>
          <w:szCs w:val="24"/>
        </w:rPr>
      </w:pPr>
      <w:r w:rsidRPr="00FA39F4">
        <w:rPr>
          <w:sz w:val="24"/>
          <w:szCs w:val="24"/>
        </w:rPr>
        <w:t xml:space="preserve">Key </w:t>
      </w:r>
      <w:r>
        <w:rPr>
          <w:sz w:val="24"/>
          <w:szCs w:val="24"/>
        </w:rPr>
        <w:t>WIOA and Regulatory Citations:</w:t>
      </w:r>
      <w:r w:rsidR="00310D3D" w:rsidRPr="004574B2">
        <w:rPr>
          <w:sz w:val="24"/>
          <w:szCs w:val="24"/>
        </w:rPr>
        <w:t xml:space="preserve"> </w:t>
      </w:r>
      <w:r w:rsidRPr="003139E0">
        <w:rPr>
          <w:sz w:val="24"/>
          <w:szCs w:val="24"/>
        </w:rPr>
        <w:t>WIOA Section 129(a)(4)(A)</w:t>
      </w:r>
      <w:r w:rsidR="004574B2" w:rsidRPr="003139E0">
        <w:rPr>
          <w:sz w:val="24"/>
          <w:szCs w:val="24"/>
        </w:rPr>
        <w:t xml:space="preserve"> and 20 CFR 681.410</w:t>
      </w:r>
    </w:p>
    <w:p w14:paraId="6086855A" w14:textId="11D346EE" w:rsidR="00310D3D" w:rsidRPr="003139E0" w:rsidRDefault="00A13875" w:rsidP="003139E0">
      <w:pPr>
        <w:rPr>
          <w:sz w:val="24"/>
          <w:szCs w:val="24"/>
        </w:rPr>
      </w:pPr>
      <w:r>
        <w:rPr>
          <w:sz w:val="24"/>
          <w:szCs w:val="24"/>
        </w:rPr>
        <w:t xml:space="preserve">Approved for: </w:t>
      </w:r>
      <w:r w:rsidR="00E36DCD">
        <w:rPr>
          <w:sz w:val="24"/>
          <w:szCs w:val="24"/>
        </w:rPr>
        <w:t xml:space="preserve">Delaware, </w:t>
      </w:r>
      <w:r w:rsidR="00B5667A">
        <w:rPr>
          <w:sz w:val="24"/>
          <w:szCs w:val="24"/>
        </w:rPr>
        <w:t xml:space="preserve">Georgia, </w:t>
      </w:r>
      <w:r w:rsidR="003C6491" w:rsidRPr="004574B2">
        <w:rPr>
          <w:sz w:val="24"/>
          <w:szCs w:val="24"/>
        </w:rPr>
        <w:t>Illinois</w:t>
      </w:r>
      <w:r>
        <w:rPr>
          <w:sz w:val="24"/>
          <w:szCs w:val="24"/>
        </w:rPr>
        <w:t xml:space="preserve">, </w:t>
      </w:r>
      <w:r w:rsidR="003C6491" w:rsidRPr="004574B2">
        <w:rPr>
          <w:sz w:val="24"/>
          <w:szCs w:val="24"/>
        </w:rPr>
        <w:t>Indiana</w:t>
      </w:r>
      <w:r w:rsidR="003139E0">
        <w:rPr>
          <w:sz w:val="24"/>
          <w:szCs w:val="24"/>
        </w:rPr>
        <w:t xml:space="preserve">, </w:t>
      </w:r>
      <w:r w:rsidR="003C6491" w:rsidRPr="003139E0">
        <w:rPr>
          <w:sz w:val="24"/>
          <w:szCs w:val="24"/>
        </w:rPr>
        <w:t>Kansas</w:t>
      </w:r>
      <w:r w:rsidR="003139E0">
        <w:rPr>
          <w:sz w:val="24"/>
          <w:szCs w:val="24"/>
        </w:rPr>
        <w:t xml:space="preserve">, </w:t>
      </w:r>
      <w:r w:rsidR="003C6491" w:rsidRPr="003139E0">
        <w:rPr>
          <w:sz w:val="24"/>
          <w:szCs w:val="24"/>
        </w:rPr>
        <w:t>Michigan</w:t>
      </w:r>
      <w:r w:rsidR="003139E0">
        <w:rPr>
          <w:sz w:val="24"/>
          <w:szCs w:val="24"/>
        </w:rPr>
        <w:t xml:space="preserve">, </w:t>
      </w:r>
      <w:r w:rsidR="00E15A48" w:rsidRPr="003139E0">
        <w:rPr>
          <w:sz w:val="24"/>
          <w:szCs w:val="24"/>
        </w:rPr>
        <w:t>Minnesota</w:t>
      </w:r>
      <w:r w:rsidR="003139E0">
        <w:rPr>
          <w:sz w:val="24"/>
          <w:szCs w:val="24"/>
        </w:rPr>
        <w:t xml:space="preserve">, </w:t>
      </w:r>
      <w:r w:rsidR="003C6491" w:rsidRPr="003139E0">
        <w:rPr>
          <w:sz w:val="24"/>
          <w:szCs w:val="24"/>
        </w:rPr>
        <w:t>Mississippi</w:t>
      </w:r>
      <w:r w:rsidR="003139E0">
        <w:rPr>
          <w:sz w:val="24"/>
          <w:szCs w:val="24"/>
        </w:rPr>
        <w:t xml:space="preserve">, </w:t>
      </w:r>
      <w:r w:rsidR="00E15A48" w:rsidRPr="003139E0">
        <w:rPr>
          <w:sz w:val="24"/>
          <w:szCs w:val="24"/>
        </w:rPr>
        <w:t>Missouri</w:t>
      </w:r>
      <w:r w:rsidR="003139E0">
        <w:rPr>
          <w:sz w:val="24"/>
          <w:szCs w:val="24"/>
        </w:rPr>
        <w:t xml:space="preserve">, </w:t>
      </w:r>
      <w:r w:rsidR="00092E6E">
        <w:rPr>
          <w:sz w:val="24"/>
          <w:szCs w:val="24"/>
        </w:rPr>
        <w:t xml:space="preserve">New Jersey, </w:t>
      </w:r>
      <w:r w:rsidR="003C6491" w:rsidRPr="003139E0">
        <w:rPr>
          <w:sz w:val="24"/>
          <w:szCs w:val="24"/>
        </w:rPr>
        <w:t>New York</w:t>
      </w:r>
      <w:r w:rsidR="003139E0">
        <w:rPr>
          <w:sz w:val="24"/>
          <w:szCs w:val="24"/>
        </w:rPr>
        <w:t xml:space="preserve">, </w:t>
      </w:r>
      <w:r w:rsidR="003C6491" w:rsidRPr="003139E0">
        <w:rPr>
          <w:sz w:val="24"/>
          <w:szCs w:val="24"/>
        </w:rPr>
        <w:t>Northern Mariana Islands</w:t>
      </w:r>
      <w:r w:rsidR="003139E0">
        <w:rPr>
          <w:sz w:val="24"/>
          <w:szCs w:val="24"/>
        </w:rPr>
        <w:t xml:space="preserve">, </w:t>
      </w:r>
      <w:r w:rsidR="003C6491" w:rsidRPr="003139E0">
        <w:rPr>
          <w:sz w:val="24"/>
          <w:szCs w:val="24"/>
        </w:rPr>
        <w:t>Ohio</w:t>
      </w:r>
      <w:r w:rsidR="00E15A48" w:rsidRPr="003139E0">
        <w:rPr>
          <w:sz w:val="24"/>
          <w:szCs w:val="24"/>
        </w:rPr>
        <w:t xml:space="preserve"> (WIOA and TANF)</w:t>
      </w:r>
      <w:r w:rsidR="003139E0">
        <w:rPr>
          <w:sz w:val="24"/>
          <w:szCs w:val="24"/>
        </w:rPr>
        <w:t xml:space="preserve">, </w:t>
      </w:r>
      <w:r w:rsidR="00310D3D" w:rsidRPr="003139E0">
        <w:rPr>
          <w:sz w:val="24"/>
          <w:szCs w:val="24"/>
        </w:rPr>
        <w:t>Puerto Rico</w:t>
      </w:r>
      <w:r w:rsidR="003139E0">
        <w:rPr>
          <w:sz w:val="24"/>
          <w:szCs w:val="24"/>
        </w:rPr>
        <w:t xml:space="preserve">, </w:t>
      </w:r>
      <w:r w:rsidR="00310D3D" w:rsidRPr="003139E0">
        <w:rPr>
          <w:sz w:val="24"/>
          <w:szCs w:val="24"/>
        </w:rPr>
        <w:t>South Dakota</w:t>
      </w:r>
      <w:r w:rsidR="003139E0">
        <w:rPr>
          <w:sz w:val="24"/>
          <w:szCs w:val="24"/>
        </w:rPr>
        <w:t xml:space="preserve">, </w:t>
      </w:r>
      <w:r w:rsidR="00310D3D" w:rsidRPr="003139E0">
        <w:rPr>
          <w:sz w:val="24"/>
          <w:szCs w:val="24"/>
        </w:rPr>
        <w:t>Tennessee</w:t>
      </w:r>
      <w:r w:rsidR="00092E6E">
        <w:rPr>
          <w:sz w:val="24"/>
          <w:szCs w:val="24"/>
        </w:rPr>
        <w:t xml:space="preserve">, </w:t>
      </w:r>
      <w:r w:rsidR="00310D3D" w:rsidRPr="003139E0">
        <w:rPr>
          <w:sz w:val="24"/>
          <w:szCs w:val="24"/>
        </w:rPr>
        <w:t>Texas</w:t>
      </w:r>
      <w:r w:rsidR="00092E6E">
        <w:rPr>
          <w:sz w:val="24"/>
          <w:szCs w:val="24"/>
        </w:rPr>
        <w:t xml:space="preserve"> and Virginia</w:t>
      </w:r>
    </w:p>
    <w:p w14:paraId="23B6C535" w14:textId="77777777" w:rsidR="004574B2" w:rsidRPr="003139E0" w:rsidRDefault="004574B2" w:rsidP="004574B2">
      <w:pPr>
        <w:rPr>
          <w:b/>
          <w:sz w:val="24"/>
          <w:szCs w:val="24"/>
        </w:rPr>
      </w:pPr>
      <w:r w:rsidRPr="003139E0">
        <w:rPr>
          <w:b/>
          <w:sz w:val="24"/>
          <w:szCs w:val="24"/>
        </w:rPr>
        <w:t>Waiver of the requirement to conduct evaluations of workforce investment activities for adults, dislocated workers, and youth</w:t>
      </w:r>
    </w:p>
    <w:p w14:paraId="35B8513B" w14:textId="7FAD48D6" w:rsidR="004574B2" w:rsidRDefault="004574B2" w:rsidP="004574B2">
      <w:pPr>
        <w:rPr>
          <w:sz w:val="24"/>
          <w:szCs w:val="24"/>
        </w:rPr>
      </w:pPr>
      <w:r>
        <w:rPr>
          <w:sz w:val="24"/>
          <w:szCs w:val="24"/>
        </w:rPr>
        <w:t xml:space="preserve">Key WIOA and Regulatory Citations:  </w:t>
      </w:r>
      <w:r w:rsidRPr="003139E0">
        <w:rPr>
          <w:sz w:val="24"/>
          <w:szCs w:val="24"/>
        </w:rPr>
        <w:t>WIOA Sections 134(a)(2)(B)(vi) and 129(b)(1)(A)</w:t>
      </w:r>
      <w:r w:rsidR="00A62A4A" w:rsidRPr="003139E0">
        <w:rPr>
          <w:sz w:val="24"/>
          <w:szCs w:val="24"/>
        </w:rPr>
        <w:t>, 116(e), 169(a)</w:t>
      </w:r>
    </w:p>
    <w:p w14:paraId="14485AAC" w14:textId="3E1AB510" w:rsidR="004574B2" w:rsidRPr="004574B2" w:rsidRDefault="003139E0" w:rsidP="003139E0">
      <w:pPr>
        <w:rPr>
          <w:sz w:val="24"/>
          <w:szCs w:val="24"/>
        </w:rPr>
      </w:pPr>
      <w:r>
        <w:rPr>
          <w:sz w:val="24"/>
          <w:szCs w:val="24"/>
        </w:rPr>
        <w:t xml:space="preserve">Approved for: </w:t>
      </w:r>
      <w:r w:rsidR="004574B2" w:rsidRPr="004574B2">
        <w:rPr>
          <w:sz w:val="24"/>
          <w:szCs w:val="24"/>
        </w:rPr>
        <w:t>Idaho</w:t>
      </w:r>
      <w:r>
        <w:rPr>
          <w:sz w:val="24"/>
          <w:szCs w:val="24"/>
        </w:rPr>
        <w:t xml:space="preserve">, </w:t>
      </w:r>
      <w:r w:rsidR="00A62A4A">
        <w:rPr>
          <w:sz w:val="24"/>
          <w:szCs w:val="24"/>
        </w:rPr>
        <w:t>Puerto Rico</w:t>
      </w:r>
      <w:r>
        <w:rPr>
          <w:sz w:val="24"/>
          <w:szCs w:val="24"/>
        </w:rPr>
        <w:t xml:space="preserve"> and </w:t>
      </w:r>
      <w:r w:rsidR="004574B2" w:rsidRPr="004574B2">
        <w:rPr>
          <w:sz w:val="24"/>
          <w:szCs w:val="24"/>
        </w:rPr>
        <w:t>Virgin Islands</w:t>
      </w:r>
    </w:p>
    <w:p w14:paraId="36CB29CA" w14:textId="77777777" w:rsidR="004574B2" w:rsidRPr="003139E0" w:rsidRDefault="004574B2" w:rsidP="004574B2">
      <w:pPr>
        <w:rPr>
          <w:b/>
          <w:sz w:val="24"/>
          <w:szCs w:val="24"/>
        </w:rPr>
      </w:pPr>
      <w:r w:rsidRPr="003139E0">
        <w:rPr>
          <w:b/>
          <w:sz w:val="24"/>
          <w:szCs w:val="24"/>
        </w:rPr>
        <w:t>Waiver to allow the State Board to act as the Local Board</w:t>
      </w:r>
    </w:p>
    <w:p w14:paraId="2B0EF1CB" w14:textId="21A0FFFB" w:rsidR="004574B2" w:rsidRDefault="00A62A4A" w:rsidP="004574B2">
      <w:pPr>
        <w:rPr>
          <w:sz w:val="24"/>
          <w:szCs w:val="24"/>
        </w:rPr>
      </w:pPr>
      <w:r w:rsidRPr="00A62A4A">
        <w:rPr>
          <w:sz w:val="24"/>
          <w:szCs w:val="24"/>
        </w:rPr>
        <w:t xml:space="preserve">Key WIOA and Regulatory Citations:  </w:t>
      </w:r>
      <w:r w:rsidR="004574B2" w:rsidRPr="003139E0">
        <w:rPr>
          <w:sz w:val="24"/>
          <w:szCs w:val="24"/>
        </w:rPr>
        <w:t>WIOA Section 107(b)</w:t>
      </w:r>
    </w:p>
    <w:p w14:paraId="646AC6E8" w14:textId="1F33CC88" w:rsidR="00E15A48" w:rsidRDefault="003139E0" w:rsidP="003139E0">
      <w:pPr>
        <w:rPr>
          <w:sz w:val="24"/>
          <w:szCs w:val="24"/>
        </w:rPr>
      </w:pPr>
      <w:r>
        <w:rPr>
          <w:sz w:val="24"/>
          <w:szCs w:val="24"/>
        </w:rPr>
        <w:t xml:space="preserve">Approved for: </w:t>
      </w:r>
      <w:r w:rsidR="004574B2">
        <w:rPr>
          <w:sz w:val="24"/>
          <w:szCs w:val="24"/>
        </w:rPr>
        <w:t>Alaska</w:t>
      </w:r>
      <w:r>
        <w:rPr>
          <w:sz w:val="24"/>
          <w:szCs w:val="24"/>
        </w:rPr>
        <w:t xml:space="preserve">, </w:t>
      </w:r>
      <w:r w:rsidR="004574B2" w:rsidRPr="004574B2">
        <w:rPr>
          <w:sz w:val="24"/>
          <w:szCs w:val="24"/>
        </w:rPr>
        <w:t>Idaho</w:t>
      </w:r>
      <w:r>
        <w:rPr>
          <w:sz w:val="24"/>
          <w:szCs w:val="24"/>
        </w:rPr>
        <w:t xml:space="preserve"> and </w:t>
      </w:r>
      <w:r w:rsidR="00E15A48">
        <w:rPr>
          <w:sz w:val="24"/>
          <w:szCs w:val="24"/>
        </w:rPr>
        <w:t>Montana</w:t>
      </w:r>
    </w:p>
    <w:p w14:paraId="6F5D9B54" w14:textId="77777777" w:rsidR="00FA39F4" w:rsidRPr="003139E0" w:rsidRDefault="00FA39F4" w:rsidP="00FA39F4">
      <w:pPr>
        <w:rPr>
          <w:b/>
          <w:sz w:val="24"/>
          <w:szCs w:val="24"/>
        </w:rPr>
      </w:pPr>
      <w:r w:rsidRPr="003139E0">
        <w:rPr>
          <w:b/>
          <w:sz w:val="24"/>
          <w:szCs w:val="24"/>
        </w:rPr>
        <w:t>Waiver to allow the state to assign a single local workforce development area to multiple planning regions</w:t>
      </w:r>
    </w:p>
    <w:p w14:paraId="751CD8AD" w14:textId="213A4B69" w:rsidR="00FA39F4" w:rsidRDefault="00FA39F4" w:rsidP="00FA39F4">
      <w:pPr>
        <w:rPr>
          <w:sz w:val="24"/>
          <w:szCs w:val="24"/>
        </w:rPr>
      </w:pPr>
      <w:r>
        <w:rPr>
          <w:sz w:val="24"/>
          <w:szCs w:val="24"/>
        </w:rPr>
        <w:t xml:space="preserve">Key WIOA and Regulatory Citations:  </w:t>
      </w:r>
      <w:r w:rsidRPr="003139E0">
        <w:rPr>
          <w:sz w:val="24"/>
          <w:szCs w:val="24"/>
        </w:rPr>
        <w:t>WIOA 106(a)(2) and 20 CFR 679.210</w:t>
      </w:r>
    </w:p>
    <w:p w14:paraId="278CA951" w14:textId="58AB4BB7" w:rsidR="00E15A48" w:rsidRPr="00FA39F4" w:rsidRDefault="003139E0" w:rsidP="00B911BA">
      <w:pPr>
        <w:rPr>
          <w:sz w:val="24"/>
          <w:szCs w:val="24"/>
        </w:rPr>
      </w:pPr>
      <w:r>
        <w:rPr>
          <w:sz w:val="24"/>
          <w:szCs w:val="24"/>
        </w:rPr>
        <w:t xml:space="preserve">Approved for: </w:t>
      </w:r>
      <w:r w:rsidR="00FA39F4" w:rsidRPr="00FA39F4">
        <w:rPr>
          <w:sz w:val="24"/>
          <w:szCs w:val="24"/>
        </w:rPr>
        <w:t>Illinois</w:t>
      </w:r>
      <w:r w:rsidR="00B911BA">
        <w:rPr>
          <w:sz w:val="24"/>
          <w:szCs w:val="24"/>
        </w:rPr>
        <w:t xml:space="preserve"> and </w:t>
      </w:r>
      <w:r w:rsidR="00E15A48">
        <w:rPr>
          <w:sz w:val="24"/>
          <w:szCs w:val="24"/>
        </w:rPr>
        <w:t>Nebraska</w:t>
      </w:r>
    </w:p>
    <w:p w14:paraId="5A483EBF" w14:textId="77777777" w:rsidR="00FA39F4" w:rsidRPr="00B911BA" w:rsidRDefault="00FA39F4" w:rsidP="00FA39F4">
      <w:pPr>
        <w:rPr>
          <w:b/>
          <w:sz w:val="24"/>
          <w:szCs w:val="24"/>
        </w:rPr>
      </w:pPr>
      <w:r w:rsidRPr="00B911BA">
        <w:rPr>
          <w:b/>
          <w:sz w:val="24"/>
          <w:szCs w:val="24"/>
        </w:rPr>
        <w:t>Waiver to substitute the WIOA state Board membership requirements</w:t>
      </w:r>
    </w:p>
    <w:p w14:paraId="209C19AD" w14:textId="3E849761" w:rsidR="00FA39F4" w:rsidRDefault="00FA39F4" w:rsidP="00FA39F4">
      <w:pPr>
        <w:rPr>
          <w:sz w:val="24"/>
          <w:szCs w:val="24"/>
        </w:rPr>
      </w:pPr>
      <w:r w:rsidRPr="00FA39F4">
        <w:rPr>
          <w:sz w:val="24"/>
          <w:szCs w:val="24"/>
        </w:rPr>
        <w:t xml:space="preserve">Key WIOA and Regulatory Citations:  </w:t>
      </w:r>
      <w:r w:rsidRPr="00B911BA">
        <w:rPr>
          <w:sz w:val="24"/>
          <w:szCs w:val="24"/>
        </w:rPr>
        <w:t>WIOA 101(b)(1) and (c) and 20 CFR 679.110(b)-(c)</w:t>
      </w:r>
    </w:p>
    <w:p w14:paraId="1F91D818" w14:textId="3A7E56FF" w:rsidR="00FA39F4" w:rsidRPr="00FA39F4" w:rsidRDefault="00B911BA" w:rsidP="00B911BA">
      <w:pPr>
        <w:rPr>
          <w:sz w:val="24"/>
          <w:szCs w:val="24"/>
        </w:rPr>
      </w:pPr>
      <w:r>
        <w:rPr>
          <w:sz w:val="24"/>
          <w:szCs w:val="24"/>
        </w:rPr>
        <w:t xml:space="preserve">Approved for: </w:t>
      </w:r>
      <w:r w:rsidR="00FA39F4" w:rsidRPr="00FA39F4">
        <w:rPr>
          <w:sz w:val="24"/>
          <w:szCs w:val="24"/>
        </w:rPr>
        <w:t>Indiana</w:t>
      </w:r>
    </w:p>
    <w:p w14:paraId="391BC6D1" w14:textId="77777777" w:rsidR="00FA39F4" w:rsidRDefault="00FA39F4" w:rsidP="00FA39F4">
      <w:pPr>
        <w:rPr>
          <w:sz w:val="24"/>
          <w:szCs w:val="24"/>
        </w:rPr>
      </w:pPr>
    </w:p>
    <w:p w14:paraId="79A71F4E" w14:textId="77777777" w:rsidR="00FA39F4" w:rsidRPr="00B911BA" w:rsidRDefault="00FA39F4" w:rsidP="00FA39F4">
      <w:pPr>
        <w:rPr>
          <w:b/>
          <w:sz w:val="24"/>
          <w:szCs w:val="24"/>
        </w:rPr>
      </w:pPr>
      <w:r w:rsidRPr="00B911BA">
        <w:rPr>
          <w:b/>
          <w:sz w:val="24"/>
          <w:szCs w:val="24"/>
        </w:rPr>
        <w:t>Waiver of the requirement that the one-stop operator be “located in the local area”</w:t>
      </w:r>
    </w:p>
    <w:p w14:paraId="1B68FC4F" w14:textId="1BDC5825" w:rsidR="00FA39F4" w:rsidRDefault="00FA39F4" w:rsidP="00FA39F4">
      <w:pPr>
        <w:rPr>
          <w:sz w:val="24"/>
          <w:szCs w:val="24"/>
        </w:rPr>
      </w:pPr>
      <w:r w:rsidRPr="00FA39F4">
        <w:rPr>
          <w:sz w:val="24"/>
          <w:szCs w:val="24"/>
        </w:rPr>
        <w:t xml:space="preserve">Key WIOA and Regulatory Citations:  </w:t>
      </w:r>
      <w:r w:rsidRPr="00B911BA">
        <w:rPr>
          <w:sz w:val="24"/>
          <w:szCs w:val="24"/>
        </w:rPr>
        <w:t>WIOA 121(d)(2)(B)</w:t>
      </w:r>
    </w:p>
    <w:p w14:paraId="25A417AD" w14:textId="481482D2" w:rsidR="00FA39F4" w:rsidRPr="00E15A48" w:rsidRDefault="00B911BA" w:rsidP="00B911BA">
      <w:pPr>
        <w:rPr>
          <w:sz w:val="24"/>
          <w:szCs w:val="24"/>
        </w:rPr>
      </w:pPr>
      <w:r>
        <w:rPr>
          <w:sz w:val="24"/>
          <w:szCs w:val="24"/>
        </w:rPr>
        <w:t xml:space="preserve">Approved for: </w:t>
      </w:r>
      <w:r w:rsidR="00FA39F4" w:rsidRPr="00E15A48">
        <w:rPr>
          <w:sz w:val="24"/>
          <w:szCs w:val="24"/>
        </w:rPr>
        <w:t>Iowa</w:t>
      </w:r>
    </w:p>
    <w:p w14:paraId="232D0B6F" w14:textId="77777777" w:rsidR="00FA39F4" w:rsidRPr="00B911BA" w:rsidRDefault="00FA39F4" w:rsidP="00FA39F4">
      <w:pPr>
        <w:rPr>
          <w:b/>
          <w:sz w:val="24"/>
          <w:szCs w:val="24"/>
        </w:rPr>
      </w:pPr>
      <w:r w:rsidRPr="00B911BA">
        <w:rPr>
          <w:b/>
          <w:sz w:val="24"/>
          <w:szCs w:val="24"/>
        </w:rPr>
        <w:t>Waiver to increase on-the-job training employer reimbursement up to 90 percent for business with 50 or fewer employees</w:t>
      </w:r>
    </w:p>
    <w:p w14:paraId="121C7506" w14:textId="55EB9E09" w:rsidR="00FA39F4" w:rsidRDefault="00FA39F4" w:rsidP="00FA39F4">
      <w:pPr>
        <w:rPr>
          <w:sz w:val="24"/>
          <w:szCs w:val="24"/>
        </w:rPr>
      </w:pPr>
      <w:r w:rsidRPr="00FA39F4">
        <w:rPr>
          <w:sz w:val="24"/>
          <w:szCs w:val="24"/>
        </w:rPr>
        <w:t xml:space="preserve">Key WIOA and Regulatory Citations:  </w:t>
      </w:r>
      <w:r w:rsidRPr="00B911BA">
        <w:rPr>
          <w:sz w:val="24"/>
          <w:szCs w:val="24"/>
        </w:rPr>
        <w:t>WIOA 134(c)(3)(H)(i) and 20 CFR 680.720(b)</w:t>
      </w:r>
    </w:p>
    <w:p w14:paraId="5E20C2CB" w14:textId="61A46757" w:rsidR="00492A06" w:rsidRPr="00E15A48" w:rsidRDefault="00B911BA" w:rsidP="00B911BA">
      <w:pPr>
        <w:rPr>
          <w:sz w:val="24"/>
          <w:szCs w:val="24"/>
        </w:rPr>
      </w:pPr>
      <w:r>
        <w:rPr>
          <w:sz w:val="24"/>
          <w:szCs w:val="24"/>
        </w:rPr>
        <w:t xml:space="preserve">Approved for: </w:t>
      </w:r>
      <w:r w:rsidR="00FA39F4" w:rsidRPr="00E15A48">
        <w:rPr>
          <w:sz w:val="24"/>
          <w:szCs w:val="24"/>
        </w:rPr>
        <w:t>Massachusetts</w:t>
      </w:r>
      <w:r>
        <w:rPr>
          <w:sz w:val="24"/>
          <w:szCs w:val="24"/>
        </w:rPr>
        <w:t xml:space="preserve">, </w:t>
      </w:r>
      <w:r w:rsidR="00A62A4A">
        <w:rPr>
          <w:sz w:val="24"/>
          <w:szCs w:val="24"/>
        </w:rPr>
        <w:t>Puerto Rico</w:t>
      </w:r>
      <w:r>
        <w:rPr>
          <w:sz w:val="24"/>
          <w:szCs w:val="24"/>
        </w:rPr>
        <w:t xml:space="preserve"> and </w:t>
      </w:r>
      <w:r w:rsidR="0054033B">
        <w:rPr>
          <w:sz w:val="24"/>
          <w:szCs w:val="24"/>
        </w:rPr>
        <w:t>Virgin I</w:t>
      </w:r>
      <w:r w:rsidR="00492A06">
        <w:rPr>
          <w:sz w:val="24"/>
          <w:szCs w:val="24"/>
        </w:rPr>
        <w:t>slands</w:t>
      </w:r>
    </w:p>
    <w:p w14:paraId="29DDC5E1" w14:textId="77777777" w:rsidR="00E15A48" w:rsidRPr="00B911BA" w:rsidRDefault="00E15A48" w:rsidP="00FA39F4">
      <w:pPr>
        <w:rPr>
          <w:b/>
          <w:sz w:val="24"/>
          <w:szCs w:val="24"/>
        </w:rPr>
      </w:pPr>
      <w:r w:rsidRPr="00B911BA">
        <w:rPr>
          <w:b/>
          <w:sz w:val="24"/>
          <w:szCs w:val="24"/>
        </w:rPr>
        <w:t>Waiver to allow local areas to provide in-school youth with Individual Training Accounts (ITAs)</w:t>
      </w:r>
    </w:p>
    <w:p w14:paraId="3BFD244D" w14:textId="7B1D710F" w:rsidR="00E15A48" w:rsidRDefault="00E15A48" w:rsidP="00FA39F4">
      <w:pPr>
        <w:rPr>
          <w:sz w:val="24"/>
          <w:szCs w:val="24"/>
        </w:rPr>
      </w:pPr>
      <w:r w:rsidRPr="00E15A48">
        <w:rPr>
          <w:sz w:val="24"/>
          <w:szCs w:val="24"/>
        </w:rPr>
        <w:t xml:space="preserve">Key WIOA and Regulatory Citations:  </w:t>
      </w:r>
      <w:r w:rsidRPr="00B911BA">
        <w:rPr>
          <w:sz w:val="24"/>
          <w:szCs w:val="24"/>
        </w:rPr>
        <w:t>20 CFR 681.550</w:t>
      </w:r>
    </w:p>
    <w:p w14:paraId="17AB61A5" w14:textId="3E5E3501" w:rsidR="00492A06" w:rsidRPr="00DB54A4" w:rsidRDefault="00B911BA" w:rsidP="00B911BA">
      <w:pPr>
        <w:rPr>
          <w:sz w:val="24"/>
          <w:szCs w:val="24"/>
        </w:rPr>
      </w:pPr>
      <w:r>
        <w:rPr>
          <w:sz w:val="24"/>
          <w:szCs w:val="24"/>
        </w:rPr>
        <w:t xml:space="preserve">Approved for: </w:t>
      </w:r>
      <w:r w:rsidR="005835EC">
        <w:rPr>
          <w:sz w:val="24"/>
          <w:szCs w:val="24"/>
        </w:rPr>
        <w:t xml:space="preserve">Alabama, </w:t>
      </w:r>
      <w:r w:rsidR="00E36DCD">
        <w:rPr>
          <w:sz w:val="24"/>
          <w:szCs w:val="24"/>
        </w:rPr>
        <w:t xml:space="preserve">Illinois, </w:t>
      </w:r>
      <w:r w:rsidR="00E15A48" w:rsidRPr="00A62A4A">
        <w:rPr>
          <w:sz w:val="24"/>
          <w:szCs w:val="24"/>
        </w:rPr>
        <w:t>Ohio</w:t>
      </w:r>
      <w:r>
        <w:rPr>
          <w:sz w:val="24"/>
          <w:szCs w:val="24"/>
        </w:rPr>
        <w:t xml:space="preserve">, </w:t>
      </w:r>
      <w:r w:rsidR="00E15A48" w:rsidRPr="00A62A4A">
        <w:rPr>
          <w:sz w:val="24"/>
          <w:szCs w:val="24"/>
        </w:rPr>
        <w:t>Pennsylvania</w:t>
      </w:r>
      <w:r>
        <w:rPr>
          <w:sz w:val="24"/>
          <w:szCs w:val="24"/>
        </w:rPr>
        <w:t xml:space="preserve">, </w:t>
      </w:r>
      <w:r w:rsidR="00DB54A4">
        <w:rPr>
          <w:sz w:val="24"/>
          <w:szCs w:val="24"/>
        </w:rPr>
        <w:t>South Dakota</w:t>
      </w:r>
      <w:r>
        <w:rPr>
          <w:sz w:val="24"/>
          <w:szCs w:val="24"/>
        </w:rPr>
        <w:t xml:space="preserve">, </w:t>
      </w:r>
      <w:r w:rsidR="00DB54A4">
        <w:rPr>
          <w:sz w:val="24"/>
          <w:szCs w:val="24"/>
        </w:rPr>
        <w:t>Tennessee</w:t>
      </w:r>
      <w:r>
        <w:rPr>
          <w:sz w:val="24"/>
          <w:szCs w:val="24"/>
        </w:rPr>
        <w:t xml:space="preserve">, </w:t>
      </w:r>
      <w:r w:rsidR="00B13F49">
        <w:rPr>
          <w:sz w:val="24"/>
          <w:szCs w:val="24"/>
        </w:rPr>
        <w:t>Texas</w:t>
      </w:r>
      <w:r>
        <w:rPr>
          <w:sz w:val="24"/>
          <w:szCs w:val="24"/>
        </w:rPr>
        <w:t xml:space="preserve"> and </w:t>
      </w:r>
      <w:r w:rsidR="00492A06">
        <w:rPr>
          <w:sz w:val="24"/>
          <w:szCs w:val="24"/>
        </w:rPr>
        <w:t>Utah</w:t>
      </w:r>
    </w:p>
    <w:p w14:paraId="24CDC52B" w14:textId="77777777" w:rsidR="00E15A48" w:rsidRPr="00B911BA" w:rsidRDefault="00E15A48" w:rsidP="00FA39F4">
      <w:pPr>
        <w:rPr>
          <w:b/>
          <w:sz w:val="24"/>
          <w:szCs w:val="24"/>
        </w:rPr>
      </w:pPr>
      <w:r w:rsidRPr="00B911BA">
        <w:rPr>
          <w:b/>
          <w:sz w:val="24"/>
          <w:szCs w:val="24"/>
        </w:rPr>
        <w:t>Waive to allow flexibility in the use of funds reserved by the Governor to provide statewide rapid response activities to instead provide statewide employment and training activities, including disaster relief employment to affected areas</w:t>
      </w:r>
    </w:p>
    <w:p w14:paraId="0511CE61" w14:textId="6AE71BEC" w:rsidR="00E15A48" w:rsidRDefault="00E15A48" w:rsidP="00FA39F4">
      <w:pPr>
        <w:rPr>
          <w:sz w:val="24"/>
          <w:szCs w:val="24"/>
        </w:rPr>
      </w:pPr>
      <w:r w:rsidRPr="00E15A48">
        <w:rPr>
          <w:sz w:val="24"/>
          <w:szCs w:val="24"/>
        </w:rPr>
        <w:t xml:space="preserve">Key WIOA and Regulatory Citations:  </w:t>
      </w:r>
      <w:r w:rsidRPr="00B911BA">
        <w:rPr>
          <w:sz w:val="24"/>
          <w:szCs w:val="24"/>
        </w:rPr>
        <w:t>WIOA 134</w:t>
      </w:r>
      <w:r w:rsidR="00A62A4A" w:rsidRPr="00B911BA">
        <w:rPr>
          <w:sz w:val="24"/>
          <w:szCs w:val="24"/>
        </w:rPr>
        <w:t>(a)(2)(A) and (B) and 134(a)(3)</w:t>
      </w:r>
    </w:p>
    <w:p w14:paraId="172704DB" w14:textId="277AB90E" w:rsidR="00A62A4A" w:rsidRPr="00A62A4A" w:rsidRDefault="00B911BA" w:rsidP="00B911BA">
      <w:pPr>
        <w:rPr>
          <w:sz w:val="24"/>
          <w:szCs w:val="24"/>
        </w:rPr>
      </w:pPr>
      <w:r>
        <w:rPr>
          <w:sz w:val="24"/>
          <w:szCs w:val="24"/>
        </w:rPr>
        <w:t xml:space="preserve">Approved for: </w:t>
      </w:r>
      <w:r w:rsidR="00A62A4A" w:rsidRPr="00A62A4A">
        <w:rPr>
          <w:sz w:val="24"/>
          <w:szCs w:val="24"/>
        </w:rPr>
        <w:t>Pennsylvania</w:t>
      </w:r>
    </w:p>
    <w:p w14:paraId="4EF20014" w14:textId="77777777" w:rsidR="00A62A4A" w:rsidRPr="00B911BA" w:rsidRDefault="00A62A4A" w:rsidP="00FA39F4">
      <w:pPr>
        <w:rPr>
          <w:b/>
          <w:sz w:val="24"/>
          <w:szCs w:val="24"/>
        </w:rPr>
      </w:pPr>
      <w:r w:rsidRPr="00B911BA">
        <w:rPr>
          <w:b/>
          <w:sz w:val="24"/>
          <w:szCs w:val="24"/>
        </w:rPr>
        <w:t>Waiver of the limitation on the use of funds for capitalization of business to allow funds to be used to capitalize small business that were affected by Hurricanes Irma and Maria, up to $5,000 per affected business</w:t>
      </w:r>
    </w:p>
    <w:p w14:paraId="34F9D3C9" w14:textId="2A1A1CFD" w:rsidR="00A62A4A" w:rsidRDefault="00A62A4A" w:rsidP="00FA39F4">
      <w:pPr>
        <w:rPr>
          <w:sz w:val="24"/>
          <w:szCs w:val="24"/>
        </w:rPr>
      </w:pPr>
      <w:r w:rsidRPr="00A62A4A">
        <w:rPr>
          <w:sz w:val="24"/>
          <w:szCs w:val="24"/>
        </w:rPr>
        <w:t>Key WIOA and Regulatory Citations</w:t>
      </w:r>
      <w:r w:rsidRPr="00A62A4A">
        <w:rPr>
          <w:b/>
          <w:sz w:val="24"/>
          <w:szCs w:val="24"/>
        </w:rPr>
        <w:t xml:space="preserve">:  </w:t>
      </w:r>
      <w:r w:rsidRPr="00B911BA">
        <w:rPr>
          <w:sz w:val="24"/>
          <w:szCs w:val="24"/>
        </w:rPr>
        <w:t>WIOA 181(e)</w:t>
      </w:r>
    </w:p>
    <w:p w14:paraId="4FE693D6" w14:textId="4AE43744" w:rsidR="00DB54A4" w:rsidRPr="00A62A4A" w:rsidRDefault="00B911BA" w:rsidP="00B911BA">
      <w:pPr>
        <w:rPr>
          <w:sz w:val="24"/>
          <w:szCs w:val="24"/>
        </w:rPr>
      </w:pPr>
      <w:r>
        <w:rPr>
          <w:sz w:val="24"/>
          <w:szCs w:val="24"/>
        </w:rPr>
        <w:t xml:space="preserve">Approved for: </w:t>
      </w:r>
      <w:r w:rsidR="00A62A4A" w:rsidRPr="00A62A4A">
        <w:rPr>
          <w:sz w:val="24"/>
          <w:szCs w:val="24"/>
        </w:rPr>
        <w:t>Puerto Rico</w:t>
      </w:r>
      <w:r>
        <w:rPr>
          <w:sz w:val="24"/>
          <w:szCs w:val="24"/>
        </w:rPr>
        <w:t xml:space="preserve"> and </w:t>
      </w:r>
      <w:r w:rsidR="00DB54A4">
        <w:rPr>
          <w:sz w:val="24"/>
          <w:szCs w:val="24"/>
        </w:rPr>
        <w:t>Texas</w:t>
      </w:r>
    </w:p>
    <w:p w14:paraId="17A40C6D" w14:textId="77777777" w:rsidR="00E15A48" w:rsidRPr="00B911BA" w:rsidRDefault="00A62A4A" w:rsidP="00FA39F4">
      <w:pPr>
        <w:rPr>
          <w:b/>
          <w:sz w:val="24"/>
          <w:szCs w:val="24"/>
        </w:rPr>
      </w:pPr>
      <w:r w:rsidRPr="00B911BA">
        <w:rPr>
          <w:b/>
          <w:sz w:val="24"/>
          <w:szCs w:val="24"/>
        </w:rPr>
        <w:t xml:space="preserve">Waiver to permit the </w:t>
      </w:r>
      <w:r w:rsidR="00DB54A4" w:rsidRPr="00B911BA">
        <w:rPr>
          <w:b/>
          <w:sz w:val="24"/>
          <w:szCs w:val="24"/>
        </w:rPr>
        <w:t>State</w:t>
      </w:r>
      <w:r w:rsidRPr="00B911BA">
        <w:rPr>
          <w:b/>
          <w:sz w:val="24"/>
          <w:szCs w:val="24"/>
        </w:rPr>
        <w:t xml:space="preserve"> to exclude individuals affected by the disaster from the calculation of state and local performance measures</w:t>
      </w:r>
    </w:p>
    <w:p w14:paraId="0B7D8153" w14:textId="3028FB5A" w:rsidR="00A62A4A" w:rsidRDefault="00A62A4A" w:rsidP="00FA39F4">
      <w:pPr>
        <w:rPr>
          <w:sz w:val="24"/>
          <w:szCs w:val="24"/>
        </w:rPr>
      </w:pPr>
      <w:r w:rsidRPr="00A62A4A">
        <w:rPr>
          <w:sz w:val="24"/>
          <w:szCs w:val="24"/>
        </w:rPr>
        <w:t xml:space="preserve">Key WIOA and Regulatory Citations:  </w:t>
      </w:r>
      <w:r w:rsidRPr="00B911BA">
        <w:rPr>
          <w:sz w:val="24"/>
          <w:szCs w:val="24"/>
        </w:rPr>
        <w:t>WIOA 116(b) and (c)</w:t>
      </w:r>
    </w:p>
    <w:p w14:paraId="14A2296B" w14:textId="0AE3015B" w:rsidR="00492A06" w:rsidRPr="00DB54A4" w:rsidRDefault="00B911BA" w:rsidP="00B911BA">
      <w:pPr>
        <w:rPr>
          <w:sz w:val="24"/>
          <w:szCs w:val="24"/>
        </w:rPr>
      </w:pPr>
      <w:r>
        <w:rPr>
          <w:sz w:val="24"/>
          <w:szCs w:val="24"/>
        </w:rPr>
        <w:t xml:space="preserve">Approved for: </w:t>
      </w:r>
      <w:r w:rsidR="00A62A4A" w:rsidRPr="00DB54A4">
        <w:rPr>
          <w:sz w:val="24"/>
          <w:szCs w:val="24"/>
        </w:rPr>
        <w:t>Puerto Rico</w:t>
      </w:r>
      <w:r>
        <w:rPr>
          <w:sz w:val="24"/>
          <w:szCs w:val="24"/>
        </w:rPr>
        <w:t xml:space="preserve">, </w:t>
      </w:r>
      <w:r w:rsidR="00DB54A4">
        <w:rPr>
          <w:sz w:val="24"/>
          <w:szCs w:val="24"/>
        </w:rPr>
        <w:t>Texas</w:t>
      </w:r>
      <w:r>
        <w:rPr>
          <w:sz w:val="24"/>
          <w:szCs w:val="24"/>
        </w:rPr>
        <w:t xml:space="preserve"> and </w:t>
      </w:r>
      <w:r w:rsidR="00492A06">
        <w:rPr>
          <w:sz w:val="24"/>
          <w:szCs w:val="24"/>
        </w:rPr>
        <w:t>Virgin Islands</w:t>
      </w:r>
    </w:p>
    <w:p w14:paraId="2C1BA253" w14:textId="77777777" w:rsidR="00A62A4A" w:rsidRPr="00B911BA" w:rsidRDefault="00DB54A4" w:rsidP="00FA39F4">
      <w:pPr>
        <w:rPr>
          <w:b/>
          <w:sz w:val="24"/>
          <w:szCs w:val="24"/>
        </w:rPr>
      </w:pPr>
      <w:r w:rsidRPr="00B911BA">
        <w:rPr>
          <w:b/>
          <w:sz w:val="24"/>
          <w:szCs w:val="24"/>
        </w:rPr>
        <w:t>Waiver to allow up to 50 percent of WIOA Title 1 Adult, Dislocated Worker local formula funds to be used for the provision of transitional jobs</w:t>
      </w:r>
    </w:p>
    <w:p w14:paraId="3B2F0353" w14:textId="41B7BFF9" w:rsidR="00DB54A4" w:rsidRDefault="00DB54A4" w:rsidP="00FA39F4">
      <w:pPr>
        <w:rPr>
          <w:sz w:val="24"/>
          <w:szCs w:val="24"/>
        </w:rPr>
      </w:pPr>
      <w:r w:rsidRPr="00DB54A4">
        <w:rPr>
          <w:sz w:val="24"/>
          <w:szCs w:val="24"/>
        </w:rPr>
        <w:t xml:space="preserve">Key WIOA and Regulatory Citations:  </w:t>
      </w:r>
      <w:r w:rsidRPr="00B911BA">
        <w:rPr>
          <w:sz w:val="24"/>
          <w:szCs w:val="24"/>
        </w:rPr>
        <w:t>WIOA 134(d)(5) and 20 CFR 680.195</w:t>
      </w:r>
    </w:p>
    <w:p w14:paraId="159F5156" w14:textId="03CD92C0" w:rsidR="00DB54A4" w:rsidRPr="00DB54A4" w:rsidRDefault="00B911BA" w:rsidP="00B911BA">
      <w:pPr>
        <w:rPr>
          <w:sz w:val="24"/>
          <w:szCs w:val="24"/>
        </w:rPr>
      </w:pPr>
      <w:r>
        <w:rPr>
          <w:sz w:val="24"/>
          <w:szCs w:val="24"/>
        </w:rPr>
        <w:t xml:space="preserve">Approved for: </w:t>
      </w:r>
      <w:r w:rsidR="00DB54A4" w:rsidRPr="00DB54A4">
        <w:rPr>
          <w:sz w:val="24"/>
          <w:szCs w:val="24"/>
        </w:rPr>
        <w:t>Puerto Rico</w:t>
      </w:r>
    </w:p>
    <w:p w14:paraId="1BFFFCFA" w14:textId="77777777" w:rsidR="00DB54A4" w:rsidRPr="00B911BA" w:rsidRDefault="00DB54A4" w:rsidP="00FA39F4">
      <w:pPr>
        <w:rPr>
          <w:b/>
          <w:sz w:val="24"/>
          <w:szCs w:val="24"/>
        </w:rPr>
      </w:pPr>
      <w:r w:rsidRPr="00B911BA">
        <w:rPr>
          <w:b/>
          <w:sz w:val="24"/>
          <w:szCs w:val="24"/>
        </w:rPr>
        <w:lastRenderedPageBreak/>
        <w:t>Waiver to permit the State and its disaster-impacted local areas to use local Adult and Dislocated Worker formula funds for education and training programs like these in WIOA Section 134(a)(3)(A)(iii) and allow use of Youth formula funds to support the development of altern</w:t>
      </w:r>
      <w:r w:rsidR="0054033B" w:rsidRPr="00B911BA">
        <w:rPr>
          <w:b/>
          <w:sz w:val="24"/>
          <w:szCs w:val="24"/>
        </w:rPr>
        <w:t>ative, evidence-based programs</w:t>
      </w:r>
      <w:r w:rsidRPr="00B911BA">
        <w:rPr>
          <w:b/>
          <w:sz w:val="24"/>
          <w:szCs w:val="24"/>
        </w:rPr>
        <w:t xml:space="preserve"> </w:t>
      </w:r>
    </w:p>
    <w:p w14:paraId="4698C728" w14:textId="00837B23" w:rsidR="00DB54A4" w:rsidRDefault="00DB54A4" w:rsidP="00FA39F4">
      <w:pPr>
        <w:rPr>
          <w:sz w:val="24"/>
          <w:szCs w:val="24"/>
        </w:rPr>
      </w:pPr>
      <w:r w:rsidRPr="00DB54A4">
        <w:rPr>
          <w:sz w:val="24"/>
          <w:szCs w:val="24"/>
        </w:rPr>
        <w:t xml:space="preserve">Key WIOA and Regulatory Citations:  </w:t>
      </w:r>
      <w:r w:rsidRPr="00B911BA">
        <w:rPr>
          <w:sz w:val="24"/>
          <w:szCs w:val="24"/>
        </w:rPr>
        <w:t>WIOA 129(b)(2)(B) and 134(a)(3)(A)(iii)</w:t>
      </w:r>
    </w:p>
    <w:p w14:paraId="6E1D162E" w14:textId="27DB166B" w:rsidR="00DB54A4" w:rsidRPr="00DB54A4" w:rsidRDefault="00B911BA" w:rsidP="00B911BA">
      <w:pPr>
        <w:rPr>
          <w:sz w:val="24"/>
          <w:szCs w:val="24"/>
        </w:rPr>
      </w:pPr>
      <w:r>
        <w:rPr>
          <w:sz w:val="24"/>
          <w:szCs w:val="24"/>
        </w:rPr>
        <w:t xml:space="preserve">Approved for: </w:t>
      </w:r>
      <w:r w:rsidR="00DB54A4" w:rsidRPr="00DB54A4">
        <w:rPr>
          <w:sz w:val="24"/>
          <w:szCs w:val="24"/>
        </w:rPr>
        <w:t>Texas</w:t>
      </w:r>
    </w:p>
    <w:p w14:paraId="6CE8DBF1" w14:textId="77777777" w:rsidR="00DB54A4" w:rsidRPr="00B911BA" w:rsidRDefault="00DB54A4" w:rsidP="00FA39F4">
      <w:pPr>
        <w:rPr>
          <w:b/>
          <w:sz w:val="24"/>
          <w:szCs w:val="24"/>
        </w:rPr>
      </w:pPr>
      <w:r w:rsidRPr="00B911BA">
        <w:rPr>
          <w:b/>
          <w:sz w:val="24"/>
          <w:szCs w:val="24"/>
        </w:rPr>
        <w:t>Waiver of the requirement that local programs provide each of the 14 youth program elements to prioritize needed services to youth participants in hurricane-affected local areas</w:t>
      </w:r>
    </w:p>
    <w:p w14:paraId="3C4AA8DB" w14:textId="1AF7C537" w:rsidR="00DB54A4" w:rsidRDefault="00DB54A4" w:rsidP="00FA39F4">
      <w:pPr>
        <w:rPr>
          <w:sz w:val="24"/>
          <w:szCs w:val="24"/>
        </w:rPr>
      </w:pPr>
      <w:r w:rsidRPr="00DB54A4">
        <w:rPr>
          <w:sz w:val="24"/>
          <w:szCs w:val="24"/>
        </w:rPr>
        <w:t xml:space="preserve">Key WIOA and Regulatory Citations:  </w:t>
      </w:r>
      <w:r w:rsidRPr="00B911BA">
        <w:rPr>
          <w:sz w:val="24"/>
          <w:szCs w:val="24"/>
        </w:rPr>
        <w:t>WIOA 129(c)(2)</w:t>
      </w:r>
    </w:p>
    <w:p w14:paraId="10B50AF8" w14:textId="4778A186" w:rsidR="00492A06" w:rsidRPr="00B13F49" w:rsidRDefault="00B911BA" w:rsidP="00B911BA">
      <w:pPr>
        <w:rPr>
          <w:sz w:val="24"/>
          <w:szCs w:val="24"/>
        </w:rPr>
      </w:pPr>
      <w:r>
        <w:rPr>
          <w:sz w:val="24"/>
          <w:szCs w:val="24"/>
        </w:rPr>
        <w:t xml:space="preserve">Approved for: </w:t>
      </w:r>
      <w:r w:rsidR="00DB54A4" w:rsidRPr="00B13F49">
        <w:rPr>
          <w:sz w:val="24"/>
          <w:szCs w:val="24"/>
        </w:rPr>
        <w:t>Texas</w:t>
      </w:r>
      <w:r>
        <w:rPr>
          <w:sz w:val="24"/>
          <w:szCs w:val="24"/>
        </w:rPr>
        <w:t xml:space="preserve"> and </w:t>
      </w:r>
      <w:r w:rsidR="00492A06">
        <w:rPr>
          <w:sz w:val="24"/>
          <w:szCs w:val="24"/>
        </w:rPr>
        <w:t>Virgin Islands</w:t>
      </w:r>
    </w:p>
    <w:p w14:paraId="0C7282B8" w14:textId="77777777" w:rsidR="00B13F49" w:rsidRPr="00B911BA" w:rsidRDefault="00B13F49" w:rsidP="00FA39F4">
      <w:pPr>
        <w:rPr>
          <w:b/>
          <w:sz w:val="24"/>
          <w:szCs w:val="24"/>
        </w:rPr>
      </w:pPr>
      <w:r w:rsidRPr="00B911BA">
        <w:rPr>
          <w:b/>
          <w:sz w:val="24"/>
          <w:szCs w:val="24"/>
        </w:rPr>
        <w:t>Waiver of reallocation provisions to allow the State Workforce Development Board to develop additional criteria for the reallocation of recaptured funds</w:t>
      </w:r>
    </w:p>
    <w:p w14:paraId="200D9048" w14:textId="79D95FD4" w:rsidR="00B13F49" w:rsidRDefault="00B13F49" w:rsidP="00FA39F4">
      <w:pPr>
        <w:rPr>
          <w:sz w:val="24"/>
          <w:szCs w:val="24"/>
        </w:rPr>
      </w:pPr>
      <w:r w:rsidRPr="00B13F49">
        <w:rPr>
          <w:sz w:val="24"/>
          <w:szCs w:val="24"/>
        </w:rPr>
        <w:t xml:space="preserve">Key WIOA and Regulatory Citations:  </w:t>
      </w:r>
      <w:r w:rsidRPr="00B911BA">
        <w:rPr>
          <w:sz w:val="24"/>
          <w:szCs w:val="24"/>
        </w:rPr>
        <w:t>WIOA 128(c)(3) and 133(c)(3)</w:t>
      </w:r>
    </w:p>
    <w:p w14:paraId="4364DFEA" w14:textId="3AA4B875" w:rsidR="00B13F49" w:rsidRPr="00B13F49" w:rsidRDefault="00B911BA" w:rsidP="00B911BA">
      <w:pPr>
        <w:rPr>
          <w:sz w:val="24"/>
          <w:szCs w:val="24"/>
        </w:rPr>
      </w:pPr>
      <w:r>
        <w:rPr>
          <w:sz w:val="24"/>
          <w:szCs w:val="24"/>
        </w:rPr>
        <w:t xml:space="preserve">Approved for: </w:t>
      </w:r>
      <w:r w:rsidR="00B13F49" w:rsidRPr="00B13F49">
        <w:rPr>
          <w:sz w:val="24"/>
          <w:szCs w:val="24"/>
        </w:rPr>
        <w:t>Texas</w:t>
      </w:r>
    </w:p>
    <w:p w14:paraId="0FEEF1F9" w14:textId="77777777" w:rsidR="00B13F49" w:rsidRPr="00B911BA" w:rsidRDefault="00B13F49" w:rsidP="00FA39F4">
      <w:pPr>
        <w:rPr>
          <w:b/>
          <w:sz w:val="24"/>
          <w:szCs w:val="24"/>
        </w:rPr>
      </w:pPr>
      <w:r w:rsidRPr="00B911BA">
        <w:rPr>
          <w:b/>
          <w:sz w:val="24"/>
          <w:szCs w:val="24"/>
        </w:rPr>
        <w:t>Waiver to allow the State to modify the performance measures used to negotiate Local Workforce Development Board performance</w:t>
      </w:r>
    </w:p>
    <w:p w14:paraId="5CC58864" w14:textId="5C452883" w:rsidR="00B13F49" w:rsidRDefault="00B13F49" w:rsidP="00FA39F4">
      <w:pPr>
        <w:rPr>
          <w:sz w:val="24"/>
          <w:szCs w:val="24"/>
        </w:rPr>
      </w:pPr>
      <w:r w:rsidRPr="00B13F49">
        <w:rPr>
          <w:sz w:val="24"/>
          <w:szCs w:val="24"/>
        </w:rPr>
        <w:t xml:space="preserve">Key WIOA and Regulatory Citations:  </w:t>
      </w:r>
      <w:r w:rsidRPr="00B911BA">
        <w:rPr>
          <w:sz w:val="24"/>
          <w:szCs w:val="24"/>
        </w:rPr>
        <w:t>WIOA 166(c)</w:t>
      </w:r>
    </w:p>
    <w:p w14:paraId="210E413E" w14:textId="297B6275" w:rsidR="00DB54A4" w:rsidRPr="0054033B" w:rsidRDefault="00B911BA" w:rsidP="00B911BA">
      <w:pPr>
        <w:rPr>
          <w:sz w:val="24"/>
          <w:szCs w:val="24"/>
        </w:rPr>
      </w:pPr>
      <w:r>
        <w:rPr>
          <w:sz w:val="24"/>
          <w:szCs w:val="24"/>
        </w:rPr>
        <w:t xml:space="preserve">Approved for: </w:t>
      </w:r>
      <w:r w:rsidR="00B13F49" w:rsidRPr="0054033B">
        <w:rPr>
          <w:sz w:val="24"/>
          <w:szCs w:val="24"/>
        </w:rPr>
        <w:t>Texas</w:t>
      </w:r>
    </w:p>
    <w:p w14:paraId="3AE9A3FE" w14:textId="77777777" w:rsidR="00DB54A4" w:rsidRDefault="00DB54A4" w:rsidP="00FA39F4">
      <w:pPr>
        <w:rPr>
          <w:sz w:val="24"/>
          <w:szCs w:val="24"/>
        </w:rPr>
      </w:pPr>
    </w:p>
    <w:p w14:paraId="30451127" w14:textId="77777777" w:rsidR="00FA39F4" w:rsidRPr="00FA39F4" w:rsidRDefault="00FA39F4" w:rsidP="00FA39F4">
      <w:pPr>
        <w:rPr>
          <w:sz w:val="24"/>
          <w:szCs w:val="24"/>
        </w:rPr>
      </w:pPr>
    </w:p>
    <w:sectPr w:rsidR="00FA39F4" w:rsidRPr="00FA39F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72B73" w14:textId="77777777" w:rsidR="007821B4" w:rsidRDefault="007821B4" w:rsidP="007821B4">
      <w:pPr>
        <w:spacing w:after="0" w:line="240" w:lineRule="auto"/>
      </w:pPr>
      <w:r>
        <w:separator/>
      </w:r>
    </w:p>
  </w:endnote>
  <w:endnote w:type="continuationSeparator" w:id="0">
    <w:p w14:paraId="0E21682F" w14:textId="77777777" w:rsidR="007821B4" w:rsidRDefault="007821B4" w:rsidP="00782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146084"/>
      <w:docPartObj>
        <w:docPartGallery w:val="Page Numbers (Bottom of Page)"/>
        <w:docPartUnique/>
      </w:docPartObj>
    </w:sdtPr>
    <w:sdtEndPr>
      <w:rPr>
        <w:noProof/>
      </w:rPr>
    </w:sdtEndPr>
    <w:sdtContent>
      <w:p w14:paraId="08360AAC" w14:textId="1E350B63" w:rsidR="007821B4" w:rsidRDefault="007821B4">
        <w:pPr>
          <w:pStyle w:val="Footer"/>
          <w:jc w:val="center"/>
        </w:pPr>
        <w:r>
          <w:fldChar w:fldCharType="begin"/>
        </w:r>
        <w:r>
          <w:instrText xml:space="preserve"> PAGE   \* MERGEFORMAT </w:instrText>
        </w:r>
        <w:r>
          <w:fldChar w:fldCharType="separate"/>
        </w:r>
        <w:r w:rsidR="00737B57">
          <w:rPr>
            <w:noProof/>
          </w:rPr>
          <w:t>3</w:t>
        </w:r>
        <w:r>
          <w:rPr>
            <w:noProof/>
          </w:rPr>
          <w:fldChar w:fldCharType="end"/>
        </w:r>
      </w:p>
    </w:sdtContent>
  </w:sdt>
  <w:p w14:paraId="178EF3D2" w14:textId="77777777" w:rsidR="007821B4" w:rsidRDefault="007821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84DA3" w14:textId="77777777" w:rsidR="007821B4" w:rsidRDefault="007821B4" w:rsidP="007821B4">
      <w:pPr>
        <w:spacing w:after="0" w:line="240" w:lineRule="auto"/>
      </w:pPr>
      <w:r>
        <w:separator/>
      </w:r>
    </w:p>
  </w:footnote>
  <w:footnote w:type="continuationSeparator" w:id="0">
    <w:p w14:paraId="2967E1BD" w14:textId="77777777" w:rsidR="007821B4" w:rsidRDefault="007821B4" w:rsidP="007821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921B9"/>
    <w:multiLevelType w:val="hybridMultilevel"/>
    <w:tmpl w:val="FEE42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4F55AE"/>
    <w:multiLevelType w:val="hybridMultilevel"/>
    <w:tmpl w:val="8FFC4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80F4D"/>
    <w:multiLevelType w:val="hybridMultilevel"/>
    <w:tmpl w:val="784A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62452C"/>
    <w:multiLevelType w:val="hybridMultilevel"/>
    <w:tmpl w:val="B4EEA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985F97"/>
    <w:multiLevelType w:val="hybridMultilevel"/>
    <w:tmpl w:val="1A744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634B2"/>
    <w:multiLevelType w:val="hybridMultilevel"/>
    <w:tmpl w:val="3BA2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91"/>
    <w:rsid w:val="0006716C"/>
    <w:rsid w:val="00092E6E"/>
    <w:rsid w:val="00310D3D"/>
    <w:rsid w:val="003139E0"/>
    <w:rsid w:val="003C6491"/>
    <w:rsid w:val="003C6F66"/>
    <w:rsid w:val="004270C4"/>
    <w:rsid w:val="004574B2"/>
    <w:rsid w:val="00492A06"/>
    <w:rsid w:val="0054033B"/>
    <w:rsid w:val="005835EC"/>
    <w:rsid w:val="00737B57"/>
    <w:rsid w:val="007821B4"/>
    <w:rsid w:val="00803FEC"/>
    <w:rsid w:val="00A13875"/>
    <w:rsid w:val="00A62A4A"/>
    <w:rsid w:val="00A71A54"/>
    <w:rsid w:val="00B13F49"/>
    <w:rsid w:val="00B5667A"/>
    <w:rsid w:val="00B911BA"/>
    <w:rsid w:val="00C155FC"/>
    <w:rsid w:val="00DB54A4"/>
    <w:rsid w:val="00DF2E23"/>
    <w:rsid w:val="00E03C45"/>
    <w:rsid w:val="00E15A48"/>
    <w:rsid w:val="00E36DCD"/>
    <w:rsid w:val="00E76A7C"/>
    <w:rsid w:val="00FA3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68581"/>
  <w15:chartTrackingRefBased/>
  <w15:docId w15:val="{CB1EB1C2-19A8-4D96-B112-C407AA010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0D3D"/>
    <w:pPr>
      <w:ind w:left="720"/>
      <w:contextualSpacing/>
    </w:pPr>
  </w:style>
  <w:style w:type="paragraph" w:styleId="BalloonText">
    <w:name w:val="Balloon Text"/>
    <w:basedOn w:val="Normal"/>
    <w:link w:val="BalloonTextChar"/>
    <w:uiPriority w:val="99"/>
    <w:semiHidden/>
    <w:unhideWhenUsed/>
    <w:rsid w:val="00A138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875"/>
    <w:rPr>
      <w:rFonts w:ascii="Segoe UI" w:hAnsi="Segoe UI" w:cs="Segoe UI"/>
      <w:sz w:val="18"/>
      <w:szCs w:val="18"/>
    </w:rPr>
  </w:style>
  <w:style w:type="character" w:styleId="CommentReference">
    <w:name w:val="annotation reference"/>
    <w:basedOn w:val="DefaultParagraphFont"/>
    <w:uiPriority w:val="99"/>
    <w:semiHidden/>
    <w:unhideWhenUsed/>
    <w:rsid w:val="00A13875"/>
    <w:rPr>
      <w:sz w:val="16"/>
      <w:szCs w:val="16"/>
    </w:rPr>
  </w:style>
  <w:style w:type="paragraph" w:styleId="CommentText">
    <w:name w:val="annotation text"/>
    <w:basedOn w:val="Normal"/>
    <w:link w:val="CommentTextChar"/>
    <w:uiPriority w:val="99"/>
    <w:semiHidden/>
    <w:unhideWhenUsed/>
    <w:rsid w:val="00A13875"/>
    <w:pPr>
      <w:spacing w:line="240" w:lineRule="auto"/>
    </w:pPr>
    <w:rPr>
      <w:sz w:val="20"/>
      <w:szCs w:val="20"/>
    </w:rPr>
  </w:style>
  <w:style w:type="character" w:customStyle="1" w:styleId="CommentTextChar">
    <w:name w:val="Comment Text Char"/>
    <w:basedOn w:val="DefaultParagraphFont"/>
    <w:link w:val="CommentText"/>
    <w:uiPriority w:val="99"/>
    <w:semiHidden/>
    <w:rsid w:val="00A13875"/>
    <w:rPr>
      <w:sz w:val="20"/>
      <w:szCs w:val="20"/>
    </w:rPr>
  </w:style>
  <w:style w:type="paragraph" w:styleId="CommentSubject">
    <w:name w:val="annotation subject"/>
    <w:basedOn w:val="CommentText"/>
    <w:next w:val="CommentText"/>
    <w:link w:val="CommentSubjectChar"/>
    <w:uiPriority w:val="99"/>
    <w:semiHidden/>
    <w:unhideWhenUsed/>
    <w:rsid w:val="00A13875"/>
    <w:rPr>
      <w:b/>
      <w:bCs/>
    </w:rPr>
  </w:style>
  <w:style w:type="character" w:customStyle="1" w:styleId="CommentSubjectChar">
    <w:name w:val="Comment Subject Char"/>
    <w:basedOn w:val="CommentTextChar"/>
    <w:link w:val="CommentSubject"/>
    <w:uiPriority w:val="99"/>
    <w:semiHidden/>
    <w:rsid w:val="00A13875"/>
    <w:rPr>
      <w:b/>
      <w:bCs/>
      <w:sz w:val="20"/>
      <w:szCs w:val="20"/>
    </w:rPr>
  </w:style>
  <w:style w:type="paragraph" w:styleId="Header">
    <w:name w:val="header"/>
    <w:basedOn w:val="Normal"/>
    <w:link w:val="HeaderChar"/>
    <w:uiPriority w:val="99"/>
    <w:unhideWhenUsed/>
    <w:rsid w:val="007821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1B4"/>
  </w:style>
  <w:style w:type="paragraph" w:styleId="Footer">
    <w:name w:val="footer"/>
    <w:basedOn w:val="Normal"/>
    <w:link w:val="FooterChar"/>
    <w:uiPriority w:val="99"/>
    <w:unhideWhenUsed/>
    <w:rsid w:val="007821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1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7F2A5F-8AA9-409D-81A9-0B1977A40C15}"/>
</file>

<file path=customXml/itemProps2.xml><?xml version="1.0" encoding="utf-8"?>
<ds:datastoreItem xmlns:ds="http://schemas.openxmlformats.org/officeDocument/2006/customXml" ds:itemID="{D3E70461-91C0-48CD-9321-0B188589A282}"/>
</file>

<file path=customXml/itemProps3.xml><?xml version="1.0" encoding="utf-8"?>
<ds:datastoreItem xmlns:ds="http://schemas.openxmlformats.org/officeDocument/2006/customXml" ds:itemID="{42884E88-A37C-4972-B303-EFBAE51D7789}"/>
</file>

<file path=docProps/app.xml><?xml version="1.0" encoding="utf-8"?>
<Properties xmlns="http://schemas.openxmlformats.org/officeDocument/2006/extended-properties" xmlns:vt="http://schemas.openxmlformats.org/officeDocument/2006/docPropsVTypes">
  <Template>Normal</Template>
  <TotalTime>1</TotalTime>
  <Pages>3</Pages>
  <Words>719</Words>
  <Characters>4101</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Department of Labor</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Antiri, Crystal - ETA</dc:creator>
  <cp:keywords/>
  <dc:description/>
  <cp:lastModifiedBy>Thompson, Kevin - ETA</cp:lastModifiedBy>
  <cp:revision>2</cp:revision>
  <dcterms:created xsi:type="dcterms:W3CDTF">2019-08-22T14:07:00Z</dcterms:created>
  <dcterms:modified xsi:type="dcterms:W3CDTF">2019-08-22T14:07:00Z</dcterms:modified>
</cp:coreProperties>
</file>