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F9844" w14:textId="2895E442" w:rsidR="00666586" w:rsidRPr="00E553F9" w:rsidRDefault="18BEF162" w:rsidP="00E553F9">
      <w:pPr>
        <w:pStyle w:val="Heading1"/>
        <w:jc w:val="center"/>
        <w:rPr>
          <w:rFonts w:ascii="Arial" w:hAnsi="Arial" w:cs="Arial"/>
          <w:b/>
          <w:bCs/>
          <w:color w:val="auto"/>
          <w:sz w:val="24"/>
          <w:szCs w:val="24"/>
        </w:rPr>
      </w:pPr>
      <w:r w:rsidRPr="00E553F9">
        <w:rPr>
          <w:rFonts w:ascii="Arial" w:hAnsi="Arial" w:cs="Arial"/>
          <w:b/>
          <w:bCs/>
          <w:color w:val="auto"/>
          <w:sz w:val="24"/>
          <w:szCs w:val="24"/>
        </w:rPr>
        <w:t>Frequently Asked Questions</w:t>
      </w:r>
    </w:p>
    <w:p w14:paraId="52D57CFB" w14:textId="19628C80" w:rsidR="00E553F9" w:rsidRPr="00E553F9" w:rsidRDefault="00E553F9" w:rsidP="00E553F9">
      <w:pPr>
        <w:pStyle w:val="Heading1"/>
        <w:jc w:val="center"/>
        <w:rPr>
          <w:rFonts w:ascii="Arial" w:hAnsi="Arial" w:cs="Arial"/>
          <w:b/>
          <w:bCs/>
          <w:color w:val="auto"/>
          <w:sz w:val="24"/>
          <w:szCs w:val="24"/>
        </w:rPr>
      </w:pPr>
      <w:r w:rsidRPr="00E553F9">
        <w:rPr>
          <w:rFonts w:ascii="Arial" w:hAnsi="Arial" w:cs="Arial"/>
          <w:b/>
          <w:bCs/>
          <w:color w:val="auto"/>
          <w:sz w:val="24"/>
          <w:szCs w:val="24"/>
        </w:rPr>
        <w:t xml:space="preserve">National Farmworker Jobs Program, </w:t>
      </w:r>
      <w:r w:rsidR="0FF7FE48" w:rsidRPr="00E553F9">
        <w:rPr>
          <w:rFonts w:ascii="Arial" w:hAnsi="Arial" w:cs="Arial"/>
          <w:b/>
          <w:bCs/>
          <w:color w:val="auto"/>
          <w:sz w:val="24"/>
          <w:szCs w:val="24"/>
        </w:rPr>
        <w:t>Career Services and Training</w:t>
      </w:r>
    </w:p>
    <w:p w14:paraId="57A3B7D2" w14:textId="74B4B9C7" w:rsidR="00666586" w:rsidRPr="00E553F9" w:rsidRDefault="0FF7FE48" w:rsidP="00E553F9">
      <w:pPr>
        <w:pStyle w:val="Heading1"/>
        <w:jc w:val="center"/>
        <w:rPr>
          <w:rFonts w:ascii="Arial" w:hAnsi="Arial" w:cs="Arial"/>
          <w:b/>
          <w:bCs/>
          <w:color w:val="auto"/>
          <w:sz w:val="24"/>
          <w:szCs w:val="24"/>
        </w:rPr>
      </w:pPr>
      <w:r w:rsidRPr="00E553F9">
        <w:rPr>
          <w:rFonts w:ascii="Arial" w:hAnsi="Arial" w:cs="Arial"/>
          <w:b/>
          <w:bCs/>
          <w:color w:val="auto"/>
          <w:sz w:val="24"/>
          <w:szCs w:val="24"/>
        </w:rPr>
        <w:t>Funding Opportunity Announcement FOA-ETA-24-15</w:t>
      </w:r>
    </w:p>
    <w:p w14:paraId="00C2F73A" w14:textId="78EA50D7" w:rsidR="00DB5CEE" w:rsidRPr="00E553F9" w:rsidRDefault="00DB5CEE" w:rsidP="74A486A5">
      <w:pPr>
        <w:rPr>
          <w:rFonts w:ascii="Arial" w:hAnsi="Arial" w:cs="Arial"/>
          <w:sz w:val="24"/>
          <w:szCs w:val="24"/>
        </w:rPr>
      </w:pPr>
    </w:p>
    <w:p w14:paraId="3578FF17" w14:textId="54FE4228" w:rsidR="00DB5CEE" w:rsidRDefault="6E32E725" w:rsidP="00652D27">
      <w:pPr>
        <w:spacing w:after="0" w:line="240" w:lineRule="auto"/>
        <w:rPr>
          <w:rFonts w:ascii="Arial" w:hAnsi="Arial" w:cs="Arial"/>
          <w:sz w:val="24"/>
          <w:szCs w:val="24"/>
        </w:rPr>
      </w:pPr>
      <w:r w:rsidRPr="00E553F9">
        <w:rPr>
          <w:rFonts w:ascii="Arial" w:hAnsi="Arial" w:cs="Arial"/>
          <w:sz w:val="24"/>
          <w:szCs w:val="24"/>
        </w:rPr>
        <w:t>Please note, th</w:t>
      </w:r>
      <w:r w:rsidR="39C2EB51" w:rsidRPr="00E553F9">
        <w:rPr>
          <w:rFonts w:ascii="Arial" w:hAnsi="Arial" w:cs="Arial"/>
          <w:sz w:val="24"/>
          <w:szCs w:val="24"/>
        </w:rPr>
        <w:t xml:space="preserve">is </w:t>
      </w:r>
      <w:r w:rsidR="76BB2FC1" w:rsidRPr="00E553F9">
        <w:rPr>
          <w:rFonts w:ascii="Arial" w:hAnsi="Arial" w:cs="Arial"/>
          <w:sz w:val="24"/>
          <w:szCs w:val="24"/>
        </w:rPr>
        <w:t xml:space="preserve">is </w:t>
      </w:r>
      <w:r w:rsidR="39C2EB51" w:rsidRPr="00E553F9">
        <w:rPr>
          <w:rFonts w:ascii="Arial" w:hAnsi="Arial" w:cs="Arial"/>
          <w:sz w:val="24"/>
          <w:szCs w:val="24"/>
        </w:rPr>
        <w:t xml:space="preserve">a list of some </w:t>
      </w:r>
      <w:r w:rsidRPr="00E553F9">
        <w:rPr>
          <w:rFonts w:ascii="Arial" w:hAnsi="Arial" w:cs="Arial"/>
          <w:sz w:val="24"/>
          <w:szCs w:val="24"/>
        </w:rPr>
        <w:t>frequently asked questions</w:t>
      </w:r>
      <w:r w:rsidR="247DCA44" w:rsidRPr="00E553F9">
        <w:rPr>
          <w:rFonts w:ascii="Arial" w:hAnsi="Arial" w:cs="Arial"/>
          <w:sz w:val="24"/>
          <w:szCs w:val="24"/>
        </w:rPr>
        <w:t>.</w:t>
      </w:r>
      <w:r w:rsidRPr="00E553F9">
        <w:rPr>
          <w:rFonts w:ascii="Arial" w:hAnsi="Arial" w:cs="Arial"/>
          <w:sz w:val="24"/>
          <w:szCs w:val="24"/>
        </w:rPr>
        <w:t xml:space="preserve"> </w:t>
      </w:r>
      <w:r w:rsidR="012E2FFC" w:rsidRPr="00E553F9">
        <w:rPr>
          <w:rFonts w:ascii="Arial" w:hAnsi="Arial" w:cs="Arial"/>
          <w:sz w:val="24"/>
          <w:szCs w:val="24"/>
        </w:rPr>
        <w:t>P</w:t>
      </w:r>
      <w:r w:rsidRPr="00E553F9">
        <w:rPr>
          <w:rFonts w:ascii="Arial" w:hAnsi="Arial" w:cs="Arial"/>
          <w:sz w:val="24"/>
          <w:szCs w:val="24"/>
        </w:rPr>
        <w:t xml:space="preserve">lease see the </w:t>
      </w:r>
      <w:r w:rsidR="06A4D484" w:rsidRPr="00E553F9">
        <w:rPr>
          <w:rFonts w:ascii="Arial" w:hAnsi="Arial" w:cs="Arial"/>
          <w:sz w:val="24"/>
          <w:szCs w:val="24"/>
        </w:rPr>
        <w:t>funding opportunity announcement</w:t>
      </w:r>
      <w:r w:rsidR="00E553F9">
        <w:rPr>
          <w:rFonts w:ascii="Arial" w:hAnsi="Arial" w:cs="Arial"/>
          <w:sz w:val="24"/>
          <w:szCs w:val="24"/>
        </w:rPr>
        <w:t xml:space="preserve">, </w:t>
      </w:r>
      <w:hyperlink r:id="rId8" w:history="1">
        <w:r w:rsidR="00E553F9" w:rsidRPr="00E553F9">
          <w:rPr>
            <w:rStyle w:val="Hyperlink"/>
            <w:rFonts w:ascii="Arial" w:hAnsi="Arial" w:cs="Arial"/>
            <w:sz w:val="24"/>
            <w:szCs w:val="24"/>
          </w:rPr>
          <w:t>FOA-ETA-24-15</w:t>
        </w:r>
      </w:hyperlink>
      <w:r w:rsidR="00E553F9">
        <w:rPr>
          <w:rFonts w:ascii="Arial" w:hAnsi="Arial" w:cs="Arial"/>
          <w:sz w:val="24"/>
          <w:szCs w:val="24"/>
        </w:rPr>
        <w:t>,</w:t>
      </w:r>
      <w:r w:rsidRPr="00E553F9">
        <w:rPr>
          <w:rFonts w:ascii="Arial" w:hAnsi="Arial" w:cs="Arial"/>
          <w:sz w:val="24"/>
          <w:szCs w:val="24"/>
        </w:rPr>
        <w:t xml:space="preserve"> for full application requirements.</w:t>
      </w:r>
    </w:p>
    <w:p w14:paraId="461AB76A" w14:textId="77777777" w:rsidR="000C6DCE" w:rsidRDefault="000C6DCE" w:rsidP="00652D27">
      <w:pPr>
        <w:spacing w:after="0" w:line="240" w:lineRule="auto"/>
        <w:rPr>
          <w:rFonts w:ascii="Arial" w:hAnsi="Arial" w:cs="Arial"/>
          <w:sz w:val="24"/>
          <w:szCs w:val="24"/>
        </w:rPr>
      </w:pPr>
    </w:p>
    <w:p w14:paraId="063C3ADC" w14:textId="4229B3D5" w:rsidR="000C6DCE" w:rsidRPr="000C6DCE" w:rsidRDefault="000C6DCE" w:rsidP="00652D27">
      <w:pPr>
        <w:shd w:val="clear" w:color="auto" w:fill="BFBFBF" w:themeFill="background1" w:themeFillShade="BF"/>
        <w:spacing w:after="0" w:line="240" w:lineRule="auto"/>
        <w:rPr>
          <w:rFonts w:ascii="Arial" w:hAnsi="Arial" w:cs="Arial"/>
          <w:b/>
          <w:bCs/>
          <w:sz w:val="24"/>
          <w:szCs w:val="24"/>
        </w:rPr>
      </w:pPr>
      <w:r>
        <w:rPr>
          <w:rFonts w:ascii="Arial" w:hAnsi="Arial" w:cs="Arial"/>
          <w:b/>
          <w:bCs/>
          <w:sz w:val="24"/>
          <w:szCs w:val="24"/>
        </w:rPr>
        <w:t>AWARD INFORMATION</w:t>
      </w:r>
    </w:p>
    <w:p w14:paraId="5E594D12" w14:textId="77777777" w:rsidR="00652D27" w:rsidRDefault="00652D27" w:rsidP="00652D27">
      <w:pPr>
        <w:pStyle w:val="ListParagraph"/>
        <w:ind w:left="0"/>
        <w:rPr>
          <w:rFonts w:ascii="Arial" w:hAnsi="Arial" w:cs="Arial"/>
          <w:b/>
          <w:bCs/>
          <w:sz w:val="24"/>
          <w:szCs w:val="24"/>
        </w:rPr>
      </w:pPr>
    </w:p>
    <w:p w14:paraId="26C3DE98" w14:textId="534A2424" w:rsidR="00091086" w:rsidRPr="00E553F9" w:rsidRDefault="00091086" w:rsidP="00652D27">
      <w:pPr>
        <w:pStyle w:val="ListParagraph"/>
        <w:numPr>
          <w:ilvl w:val="0"/>
          <w:numId w:val="2"/>
        </w:numPr>
        <w:ind w:left="0"/>
        <w:rPr>
          <w:rFonts w:ascii="Arial" w:hAnsi="Arial" w:cs="Arial"/>
          <w:b/>
          <w:bCs/>
          <w:sz w:val="24"/>
          <w:szCs w:val="24"/>
        </w:rPr>
      </w:pPr>
      <w:r w:rsidRPr="00E553F9">
        <w:rPr>
          <w:rFonts w:ascii="Arial" w:hAnsi="Arial" w:cs="Arial"/>
          <w:b/>
          <w:bCs/>
          <w:sz w:val="24"/>
          <w:szCs w:val="24"/>
        </w:rPr>
        <w:t>Could you explain the award selection process generally?</w:t>
      </w:r>
    </w:p>
    <w:p w14:paraId="433F2BB6" w14:textId="77777777" w:rsidR="00091086" w:rsidRPr="00E553F9" w:rsidRDefault="00091086" w:rsidP="00652D27">
      <w:pPr>
        <w:pStyle w:val="ListParagraph"/>
        <w:ind w:left="0"/>
        <w:rPr>
          <w:rFonts w:ascii="Arial" w:hAnsi="Arial" w:cs="Arial"/>
          <w:sz w:val="24"/>
          <w:szCs w:val="24"/>
        </w:rPr>
      </w:pPr>
    </w:p>
    <w:p w14:paraId="697CAB53" w14:textId="2A14548D" w:rsidR="00091086" w:rsidRPr="00E553F9" w:rsidRDefault="00091086" w:rsidP="00652D27">
      <w:pPr>
        <w:spacing w:after="0" w:line="240" w:lineRule="auto"/>
        <w:rPr>
          <w:rFonts w:ascii="Arial" w:hAnsi="Arial" w:cs="Arial"/>
          <w:sz w:val="24"/>
          <w:szCs w:val="24"/>
        </w:rPr>
      </w:pPr>
      <w:r w:rsidRPr="00E553F9">
        <w:rPr>
          <w:rFonts w:ascii="Arial" w:hAnsi="Arial" w:cs="Arial"/>
          <w:sz w:val="24"/>
          <w:szCs w:val="24"/>
        </w:rPr>
        <w:t>A technical merit review panel will carefully evaluate applications against the selection criteria to determine the merit of applications. These criteria are based on the policy goals, priorities, and emphases set forth in this funding opportunity announcement. Up to 100 points may be awarded to an applica</w:t>
      </w:r>
      <w:r w:rsidR="074A6849" w:rsidRPr="00E553F9">
        <w:rPr>
          <w:rFonts w:ascii="Arial" w:hAnsi="Arial" w:cs="Arial"/>
          <w:sz w:val="24"/>
          <w:szCs w:val="24"/>
        </w:rPr>
        <w:t>tion</w:t>
      </w:r>
      <w:r w:rsidRPr="00E553F9">
        <w:rPr>
          <w:rFonts w:ascii="Arial" w:hAnsi="Arial" w:cs="Arial"/>
          <w:sz w:val="24"/>
          <w:szCs w:val="24"/>
        </w:rPr>
        <w:t xml:space="preserve">, depending on the quality of the responses provided. The final scores (which may include the mathematical normalization of review panels) will serve as the primary basis for selection of applications for funding. </w:t>
      </w:r>
    </w:p>
    <w:p w14:paraId="2A35B583" w14:textId="77777777" w:rsidR="00652D27" w:rsidRDefault="00652D27" w:rsidP="00652D27">
      <w:pPr>
        <w:spacing w:after="0" w:line="240" w:lineRule="auto"/>
        <w:rPr>
          <w:rFonts w:ascii="Arial" w:hAnsi="Arial" w:cs="Arial"/>
          <w:sz w:val="24"/>
          <w:szCs w:val="24"/>
        </w:rPr>
      </w:pPr>
    </w:p>
    <w:p w14:paraId="4465FD29" w14:textId="15B05EE8" w:rsidR="00091086" w:rsidRPr="00E553F9" w:rsidRDefault="00091086" w:rsidP="00652D27">
      <w:pPr>
        <w:spacing w:after="0" w:line="240" w:lineRule="auto"/>
        <w:rPr>
          <w:rFonts w:ascii="Arial" w:hAnsi="Arial" w:cs="Arial"/>
          <w:color w:val="002060"/>
          <w:sz w:val="24"/>
          <w:szCs w:val="24"/>
        </w:rPr>
      </w:pPr>
      <w:r w:rsidRPr="00E553F9">
        <w:rPr>
          <w:rFonts w:ascii="Arial" w:hAnsi="Arial" w:cs="Arial"/>
          <w:sz w:val="24"/>
          <w:szCs w:val="24"/>
        </w:rPr>
        <w:t>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w:t>
      </w:r>
      <w:r w:rsidR="62070B57" w:rsidRPr="00E553F9">
        <w:rPr>
          <w:rFonts w:ascii="Arial" w:hAnsi="Arial" w:cs="Arial"/>
          <w:sz w:val="24"/>
          <w:szCs w:val="24"/>
        </w:rPr>
        <w:t>;</w:t>
      </w:r>
      <w:r w:rsidRPr="00E553F9">
        <w:rPr>
          <w:rFonts w:ascii="Arial" w:hAnsi="Arial" w:cs="Arial"/>
          <w:sz w:val="24"/>
          <w:szCs w:val="24"/>
        </w:rPr>
        <w:t xml:space="preserve"> category of applicant; target population such as adult participants, youth participants, or both adult and youth participants; available funding; proposed service area; coverage for Significant Migrant and Seasonal Farmworker States; selected sector(s); and other relevant factors. The Grant Officer may consider any information that comes to their attention.</w:t>
      </w:r>
    </w:p>
    <w:p w14:paraId="370EE2EA" w14:textId="77777777" w:rsidR="00652D27" w:rsidRDefault="00652D27" w:rsidP="00652D27">
      <w:pPr>
        <w:pStyle w:val="ListParagraph"/>
        <w:ind w:left="0"/>
        <w:rPr>
          <w:rFonts w:ascii="Arial" w:hAnsi="Arial" w:cs="Arial"/>
          <w:b/>
          <w:bCs/>
          <w:sz w:val="24"/>
          <w:szCs w:val="24"/>
        </w:rPr>
      </w:pPr>
    </w:p>
    <w:p w14:paraId="660F52CB" w14:textId="22EE9D22" w:rsidR="00324121" w:rsidRPr="00E553F9" w:rsidRDefault="00324121" w:rsidP="00652D27">
      <w:pPr>
        <w:pStyle w:val="ListParagraph"/>
        <w:numPr>
          <w:ilvl w:val="0"/>
          <w:numId w:val="2"/>
        </w:numPr>
        <w:ind w:left="0"/>
        <w:rPr>
          <w:rFonts w:ascii="Arial" w:hAnsi="Arial" w:cs="Arial"/>
          <w:b/>
          <w:bCs/>
          <w:sz w:val="24"/>
          <w:szCs w:val="24"/>
        </w:rPr>
      </w:pPr>
      <w:r w:rsidRPr="00E553F9">
        <w:rPr>
          <w:rFonts w:ascii="Arial" w:hAnsi="Arial" w:cs="Arial"/>
          <w:b/>
          <w:bCs/>
          <w:sz w:val="24"/>
          <w:szCs w:val="24"/>
        </w:rPr>
        <w:t xml:space="preserve">What </w:t>
      </w:r>
      <w:r w:rsidR="006A7EAA" w:rsidRPr="00E553F9">
        <w:rPr>
          <w:rFonts w:ascii="Arial" w:hAnsi="Arial" w:cs="Arial"/>
          <w:b/>
          <w:bCs/>
          <w:sz w:val="24"/>
          <w:szCs w:val="24"/>
        </w:rPr>
        <w:t xml:space="preserve">is a </w:t>
      </w:r>
      <w:r w:rsidRPr="00E553F9">
        <w:rPr>
          <w:rFonts w:ascii="Arial" w:hAnsi="Arial" w:cs="Arial"/>
          <w:b/>
          <w:bCs/>
          <w:sz w:val="24"/>
          <w:szCs w:val="24"/>
        </w:rPr>
        <w:t>service area?</w:t>
      </w:r>
    </w:p>
    <w:p w14:paraId="6E455519" w14:textId="77777777" w:rsidR="00B46230" w:rsidRPr="00E553F9" w:rsidRDefault="00B46230" w:rsidP="00652D27">
      <w:pPr>
        <w:pStyle w:val="Default"/>
        <w:rPr>
          <w:rFonts w:ascii="Arial" w:hAnsi="Arial" w:cs="Arial"/>
          <w:color w:val="auto"/>
        </w:rPr>
      </w:pPr>
    </w:p>
    <w:p w14:paraId="4140730F" w14:textId="7762872F" w:rsidR="00EF4869" w:rsidRPr="00E553F9" w:rsidRDefault="008D5DA9" w:rsidP="00652D27">
      <w:pPr>
        <w:pStyle w:val="Default"/>
        <w:rPr>
          <w:rFonts w:ascii="Arial" w:hAnsi="Arial" w:cs="Arial"/>
          <w:color w:val="auto"/>
        </w:rPr>
      </w:pPr>
      <w:r w:rsidRPr="00E553F9">
        <w:rPr>
          <w:rFonts w:ascii="Arial" w:hAnsi="Arial" w:cs="Arial"/>
          <w:color w:val="auto"/>
        </w:rPr>
        <w:t xml:space="preserve">Section III.A. of the </w:t>
      </w:r>
      <w:r w:rsidR="00652D27">
        <w:rPr>
          <w:rFonts w:ascii="Arial" w:hAnsi="Arial" w:cs="Arial"/>
          <w:color w:val="auto"/>
        </w:rPr>
        <w:t>funding opportunity announcement (</w:t>
      </w:r>
      <w:r w:rsidRPr="00E553F9">
        <w:rPr>
          <w:rFonts w:ascii="Arial" w:hAnsi="Arial" w:cs="Arial"/>
          <w:color w:val="auto"/>
        </w:rPr>
        <w:t>FOA</w:t>
      </w:r>
      <w:r w:rsidR="00652D27">
        <w:rPr>
          <w:rFonts w:ascii="Arial" w:hAnsi="Arial" w:cs="Arial"/>
          <w:color w:val="auto"/>
        </w:rPr>
        <w:t>)</w:t>
      </w:r>
      <w:r w:rsidRPr="00E553F9">
        <w:rPr>
          <w:rFonts w:ascii="Arial" w:hAnsi="Arial" w:cs="Arial"/>
          <w:color w:val="auto"/>
        </w:rPr>
        <w:t xml:space="preserve"> provides service area requirements for eligible applicants</w:t>
      </w:r>
      <w:r w:rsidR="00810B31" w:rsidRPr="00E553F9">
        <w:rPr>
          <w:rFonts w:ascii="Arial" w:hAnsi="Arial" w:cs="Arial"/>
          <w:color w:val="auto"/>
        </w:rPr>
        <w:t xml:space="preserve"> and </w:t>
      </w:r>
      <w:r w:rsidR="003333FC" w:rsidRPr="00E553F9">
        <w:rPr>
          <w:rFonts w:ascii="Arial" w:hAnsi="Arial" w:cs="Arial"/>
          <w:color w:val="auto"/>
        </w:rPr>
        <w:t>specifies</w:t>
      </w:r>
      <w:r w:rsidR="00810B31" w:rsidRPr="00E553F9">
        <w:rPr>
          <w:rFonts w:ascii="Arial" w:hAnsi="Arial" w:cs="Arial"/>
          <w:color w:val="auto"/>
        </w:rPr>
        <w:t xml:space="preserve"> that a</w:t>
      </w:r>
      <w:r w:rsidR="006A7EAA" w:rsidRPr="00E553F9">
        <w:rPr>
          <w:rFonts w:ascii="Arial" w:hAnsi="Arial" w:cs="Arial"/>
          <w:color w:val="auto"/>
        </w:rPr>
        <w:t xml:space="preserve"> service area is the geographical jurisdiction in which an applicant is proposing to provide grant services and must include a state and specific county(ies) within that state. The smallest unit of service for this program is a county.</w:t>
      </w:r>
      <w:r w:rsidR="009A1053" w:rsidRPr="00E553F9">
        <w:rPr>
          <w:rFonts w:ascii="Arial" w:hAnsi="Arial" w:cs="Arial"/>
          <w:color w:val="auto"/>
        </w:rPr>
        <w:t xml:space="preserve">  </w:t>
      </w:r>
      <w:r w:rsidR="006A7EAA" w:rsidRPr="00E553F9">
        <w:rPr>
          <w:rFonts w:ascii="Arial" w:hAnsi="Arial" w:cs="Arial"/>
          <w:color w:val="auto"/>
        </w:rPr>
        <w:t>For example, an applicant must propose to serve a county or counties within a state, but not specific cities or townships. Grantees will be responsible to provide NFJP services to eligible migrant and seasonal farmworkers and their dependents in the approved service area.</w:t>
      </w:r>
      <w:r w:rsidR="009A1053" w:rsidRPr="00E553F9">
        <w:rPr>
          <w:rFonts w:ascii="Arial" w:hAnsi="Arial" w:cs="Arial"/>
          <w:color w:val="auto"/>
        </w:rPr>
        <w:t xml:space="preserve">  Section IV.B.3.a.i. of the FOA provides specific instructions for how applicants must identify the proposed service area in their narrative and on appropriate application forms.</w:t>
      </w:r>
    </w:p>
    <w:p w14:paraId="7CE3F01E" w14:textId="77777777" w:rsidR="00C40FA8" w:rsidRDefault="00C40FA8" w:rsidP="00652D27">
      <w:pPr>
        <w:pStyle w:val="Default"/>
        <w:rPr>
          <w:rFonts w:ascii="Arial" w:hAnsi="Arial" w:cs="Arial"/>
          <w:color w:val="auto"/>
        </w:rPr>
      </w:pPr>
    </w:p>
    <w:p w14:paraId="6D7BEEC5" w14:textId="77777777" w:rsidR="00652D27" w:rsidRDefault="00652D27" w:rsidP="00652D27">
      <w:pPr>
        <w:pStyle w:val="Default"/>
        <w:rPr>
          <w:rFonts w:ascii="Arial" w:hAnsi="Arial" w:cs="Arial"/>
          <w:color w:val="auto"/>
        </w:rPr>
      </w:pPr>
    </w:p>
    <w:p w14:paraId="4DAF8526" w14:textId="77777777" w:rsidR="00652D27" w:rsidRPr="00E553F9" w:rsidRDefault="00652D27" w:rsidP="00652D27">
      <w:pPr>
        <w:pStyle w:val="Default"/>
        <w:rPr>
          <w:rFonts w:ascii="Arial" w:hAnsi="Arial" w:cs="Arial"/>
          <w:color w:val="auto"/>
        </w:rPr>
      </w:pPr>
    </w:p>
    <w:p w14:paraId="162CA7DA" w14:textId="69AA04AF" w:rsidR="008858FC" w:rsidRPr="00E553F9" w:rsidRDefault="006C526C" w:rsidP="00652D27">
      <w:pPr>
        <w:pStyle w:val="Default"/>
        <w:numPr>
          <w:ilvl w:val="0"/>
          <w:numId w:val="2"/>
        </w:numPr>
        <w:ind w:left="0"/>
        <w:rPr>
          <w:rFonts w:ascii="Arial" w:hAnsi="Arial" w:cs="Arial"/>
          <w:color w:val="auto"/>
        </w:rPr>
      </w:pPr>
      <w:r w:rsidRPr="00E553F9">
        <w:rPr>
          <w:rFonts w:ascii="Arial" w:hAnsi="Arial" w:cs="Arial"/>
          <w:b/>
          <w:bCs/>
          <w:color w:val="auto"/>
        </w:rPr>
        <w:lastRenderedPageBreak/>
        <w:t xml:space="preserve">This FOA </w:t>
      </w:r>
      <w:r w:rsidR="006B5F42" w:rsidRPr="00E553F9">
        <w:rPr>
          <w:rFonts w:ascii="Arial" w:hAnsi="Arial" w:cs="Arial"/>
          <w:b/>
          <w:bCs/>
          <w:color w:val="auto"/>
        </w:rPr>
        <w:t>lists several stat</w:t>
      </w:r>
      <w:r w:rsidR="007E2EC7" w:rsidRPr="00E553F9">
        <w:rPr>
          <w:rFonts w:ascii="Arial" w:hAnsi="Arial" w:cs="Arial"/>
          <w:b/>
          <w:bCs/>
          <w:color w:val="auto"/>
        </w:rPr>
        <w:t xml:space="preserve">es where the Department may make </w:t>
      </w:r>
      <w:r w:rsidR="005A2D6F" w:rsidRPr="00E553F9">
        <w:rPr>
          <w:rFonts w:ascii="Arial" w:hAnsi="Arial" w:cs="Arial"/>
          <w:b/>
          <w:bCs/>
          <w:color w:val="auto"/>
        </w:rPr>
        <w:t xml:space="preserve">two awards instead of just one, which is different than previous competitions.  </w:t>
      </w:r>
      <w:r w:rsidR="00C94BF0" w:rsidRPr="00E553F9">
        <w:rPr>
          <w:rFonts w:ascii="Arial" w:hAnsi="Arial" w:cs="Arial"/>
          <w:b/>
          <w:bCs/>
          <w:color w:val="auto"/>
        </w:rPr>
        <w:t>As an applicant, how do I know how much funding my organization should request if we are proposing to serve one of these states?</w:t>
      </w:r>
    </w:p>
    <w:p w14:paraId="2DA18CD9" w14:textId="77777777" w:rsidR="001B1663" w:rsidRPr="00E553F9" w:rsidRDefault="001B1663" w:rsidP="00652D27">
      <w:pPr>
        <w:pStyle w:val="Default"/>
        <w:rPr>
          <w:rFonts w:ascii="Arial" w:hAnsi="Arial" w:cs="Arial"/>
          <w:color w:val="auto"/>
        </w:rPr>
      </w:pPr>
    </w:p>
    <w:p w14:paraId="36619889" w14:textId="23613124" w:rsidR="00CB1F4A" w:rsidRPr="00E553F9" w:rsidRDefault="006B68A6" w:rsidP="00652D27">
      <w:pPr>
        <w:pStyle w:val="Default"/>
        <w:rPr>
          <w:rFonts w:ascii="Arial" w:hAnsi="Arial" w:cs="Arial"/>
          <w:color w:val="auto"/>
        </w:rPr>
      </w:pPr>
      <w:r w:rsidRPr="00E553F9">
        <w:rPr>
          <w:rFonts w:ascii="Arial" w:hAnsi="Arial" w:cs="Arial"/>
          <w:color w:val="auto"/>
        </w:rPr>
        <w:t xml:space="preserve">Section II.A. of the FOA specifies that the Department intends to award up to seven grants for </w:t>
      </w:r>
      <w:r w:rsidR="00B03F38" w:rsidRPr="00E553F9">
        <w:rPr>
          <w:rFonts w:ascii="Arial" w:hAnsi="Arial" w:cs="Arial"/>
          <w:color w:val="auto"/>
        </w:rPr>
        <w:t xml:space="preserve">CA.  It also specifies that the Department intends to award </w:t>
      </w:r>
      <w:r w:rsidR="007709A4" w:rsidRPr="00E553F9">
        <w:rPr>
          <w:rFonts w:ascii="Arial" w:hAnsi="Arial" w:cs="Arial"/>
          <w:color w:val="auto"/>
        </w:rPr>
        <w:t xml:space="preserve">a </w:t>
      </w:r>
      <w:proofErr w:type="gramStart"/>
      <w:r w:rsidR="007709A4" w:rsidRPr="00E553F9">
        <w:rPr>
          <w:rFonts w:ascii="Arial" w:hAnsi="Arial" w:cs="Arial"/>
          <w:color w:val="auto"/>
        </w:rPr>
        <w:t>grant, and</w:t>
      </w:r>
      <w:proofErr w:type="gramEnd"/>
      <w:r w:rsidR="007709A4" w:rsidRPr="00E553F9">
        <w:rPr>
          <w:rFonts w:ascii="Arial" w:hAnsi="Arial" w:cs="Arial"/>
          <w:color w:val="auto"/>
        </w:rPr>
        <w:t xml:space="preserve"> </w:t>
      </w:r>
      <w:r w:rsidR="007709A4" w:rsidRPr="00E553F9">
        <w:rPr>
          <w:rFonts w:ascii="Arial" w:hAnsi="Arial" w:cs="Arial"/>
          <w:i/>
          <w:iCs/>
          <w:color w:val="auto"/>
        </w:rPr>
        <w:t>may</w:t>
      </w:r>
      <w:r w:rsidR="007709A4" w:rsidRPr="00E553F9">
        <w:rPr>
          <w:rFonts w:ascii="Arial" w:hAnsi="Arial" w:cs="Arial"/>
          <w:color w:val="auto"/>
        </w:rPr>
        <w:t xml:space="preserve"> award up to two grants in:  AZ, FL, ID, IL, MI, NY, NC, OR, PR, TX</w:t>
      </w:r>
      <w:r w:rsidR="00A10C55" w:rsidRPr="00E553F9">
        <w:rPr>
          <w:rFonts w:ascii="Arial" w:hAnsi="Arial" w:cs="Arial"/>
          <w:color w:val="auto"/>
        </w:rPr>
        <w:t xml:space="preserve"> and WA.</w:t>
      </w:r>
      <w:r w:rsidR="00717610" w:rsidRPr="00E553F9">
        <w:rPr>
          <w:rFonts w:ascii="Arial" w:hAnsi="Arial" w:cs="Arial"/>
          <w:color w:val="auto"/>
        </w:rPr>
        <w:t xml:space="preserve">  As explained in the same section</w:t>
      </w:r>
      <w:r w:rsidR="00BD530C" w:rsidRPr="00E553F9">
        <w:rPr>
          <w:rFonts w:ascii="Arial" w:hAnsi="Arial" w:cs="Arial"/>
          <w:color w:val="auto"/>
        </w:rPr>
        <w:t xml:space="preserve"> of the FOA</w:t>
      </w:r>
      <w:r w:rsidR="00717610" w:rsidRPr="00E553F9">
        <w:rPr>
          <w:rFonts w:ascii="Arial" w:hAnsi="Arial" w:cs="Arial"/>
          <w:color w:val="auto"/>
        </w:rPr>
        <w:t xml:space="preserve">, </w:t>
      </w:r>
      <w:r w:rsidR="00E607F1" w:rsidRPr="00E553F9">
        <w:rPr>
          <w:rFonts w:ascii="Arial" w:hAnsi="Arial" w:cs="Arial"/>
          <w:color w:val="auto"/>
        </w:rPr>
        <w:t>this allows for greater competition within states with relatively large migrant and seasonal farmworker populations and NFJP funding allotments</w:t>
      </w:r>
      <w:r w:rsidR="00CB1F4A" w:rsidRPr="00E553F9">
        <w:rPr>
          <w:rFonts w:ascii="Arial" w:hAnsi="Arial" w:cs="Arial"/>
          <w:color w:val="auto"/>
        </w:rPr>
        <w:t>.</w:t>
      </w:r>
    </w:p>
    <w:p w14:paraId="5CD72AF3" w14:textId="77777777" w:rsidR="00CB1F4A" w:rsidRPr="00E553F9" w:rsidRDefault="00CB1F4A" w:rsidP="00652D27">
      <w:pPr>
        <w:pStyle w:val="Default"/>
        <w:rPr>
          <w:rFonts w:ascii="Arial" w:hAnsi="Arial" w:cs="Arial"/>
          <w:color w:val="auto"/>
        </w:rPr>
      </w:pPr>
    </w:p>
    <w:p w14:paraId="3A9EF589" w14:textId="4C3BBA1F" w:rsidR="00DD7A0C" w:rsidRPr="00E553F9" w:rsidRDefault="00C90025" w:rsidP="00652D27">
      <w:pPr>
        <w:pStyle w:val="Default"/>
        <w:rPr>
          <w:rFonts w:ascii="Arial" w:hAnsi="Arial" w:cs="Arial"/>
          <w:color w:val="auto"/>
        </w:rPr>
      </w:pPr>
      <w:r w:rsidRPr="00E553F9">
        <w:rPr>
          <w:rFonts w:ascii="Arial" w:hAnsi="Arial" w:cs="Arial"/>
          <w:color w:val="auto"/>
        </w:rPr>
        <w:t xml:space="preserve">The FOA does not prescribe specific sub-state service areas in these </w:t>
      </w:r>
      <w:r w:rsidR="00194330" w:rsidRPr="00E553F9">
        <w:rPr>
          <w:rFonts w:ascii="Arial" w:hAnsi="Arial" w:cs="Arial"/>
          <w:color w:val="auto"/>
        </w:rPr>
        <w:t>or any other states</w:t>
      </w:r>
      <w:r w:rsidR="00DF4303" w:rsidRPr="00E553F9">
        <w:rPr>
          <w:rFonts w:ascii="Arial" w:hAnsi="Arial" w:cs="Arial"/>
          <w:color w:val="auto"/>
        </w:rPr>
        <w:t>; rather, the applicant must propose its service area.</w:t>
      </w:r>
      <w:r w:rsidR="005E31D7" w:rsidRPr="00E553F9">
        <w:rPr>
          <w:rFonts w:ascii="Arial" w:hAnsi="Arial" w:cs="Arial"/>
          <w:color w:val="auto"/>
        </w:rPr>
        <w:t xml:space="preserve">  </w:t>
      </w:r>
      <w:r w:rsidR="00A95447" w:rsidRPr="00E553F9">
        <w:rPr>
          <w:rFonts w:ascii="Arial" w:hAnsi="Arial" w:cs="Arial"/>
          <w:color w:val="auto"/>
        </w:rPr>
        <w:t xml:space="preserve">The FOA also does not prescribe </w:t>
      </w:r>
      <w:r w:rsidR="001F2BA6" w:rsidRPr="00E553F9">
        <w:rPr>
          <w:rFonts w:ascii="Arial" w:hAnsi="Arial" w:cs="Arial"/>
          <w:color w:val="auto"/>
        </w:rPr>
        <w:t xml:space="preserve">sub-state </w:t>
      </w:r>
      <w:r w:rsidR="005A607F" w:rsidRPr="00E553F9">
        <w:rPr>
          <w:rFonts w:ascii="Arial" w:hAnsi="Arial" w:cs="Arial"/>
          <w:color w:val="auto"/>
        </w:rPr>
        <w:t xml:space="preserve">funding </w:t>
      </w:r>
      <w:r w:rsidR="001F2BA6" w:rsidRPr="00E553F9">
        <w:rPr>
          <w:rFonts w:ascii="Arial" w:hAnsi="Arial" w:cs="Arial"/>
          <w:color w:val="auto"/>
        </w:rPr>
        <w:t>allotment amounts</w:t>
      </w:r>
      <w:r w:rsidR="00B9324C" w:rsidRPr="00E553F9">
        <w:rPr>
          <w:rFonts w:ascii="Arial" w:hAnsi="Arial" w:cs="Arial"/>
          <w:color w:val="auto"/>
        </w:rPr>
        <w:t xml:space="preserve">.  Rather, as specified in </w:t>
      </w:r>
      <w:r w:rsidR="00A368D6" w:rsidRPr="00E553F9">
        <w:rPr>
          <w:rFonts w:ascii="Arial" w:hAnsi="Arial" w:cs="Arial"/>
          <w:color w:val="auto"/>
        </w:rPr>
        <w:t>Section III.C.4.</w:t>
      </w:r>
      <w:r w:rsidR="00423AA2" w:rsidRPr="00E553F9">
        <w:rPr>
          <w:rFonts w:ascii="Arial" w:hAnsi="Arial" w:cs="Arial"/>
          <w:color w:val="auto"/>
        </w:rPr>
        <w:t xml:space="preserve">, </w:t>
      </w:r>
      <w:r w:rsidR="00906062" w:rsidRPr="00E553F9">
        <w:rPr>
          <w:rFonts w:ascii="Arial" w:hAnsi="Arial" w:cs="Arial"/>
          <w:color w:val="auto"/>
        </w:rPr>
        <w:t>applicants must request grant funding that is commensurate with the scope and scale of the project proposed</w:t>
      </w:r>
      <w:r w:rsidR="00D15565" w:rsidRPr="00E553F9">
        <w:rPr>
          <w:rFonts w:ascii="Arial" w:hAnsi="Arial" w:cs="Arial"/>
          <w:color w:val="auto"/>
        </w:rPr>
        <w:t xml:space="preserve">, </w:t>
      </w:r>
      <w:r w:rsidR="00F93676" w:rsidRPr="00E553F9">
        <w:rPr>
          <w:rFonts w:ascii="Arial" w:hAnsi="Arial" w:cs="Arial"/>
          <w:color w:val="auto"/>
        </w:rPr>
        <w:t xml:space="preserve">considering the minimum number of enrolled participants and other factors.  Also, </w:t>
      </w:r>
      <w:r w:rsidR="00D15565" w:rsidRPr="00E553F9">
        <w:rPr>
          <w:rFonts w:ascii="Arial" w:hAnsi="Arial" w:cs="Arial"/>
          <w:color w:val="auto"/>
        </w:rPr>
        <w:t xml:space="preserve">as specified in Section II.A., </w:t>
      </w:r>
      <w:r w:rsidR="00BE13EB" w:rsidRPr="00E553F9">
        <w:rPr>
          <w:rFonts w:ascii="Arial" w:hAnsi="Arial" w:cs="Arial"/>
          <w:color w:val="auto"/>
        </w:rPr>
        <w:t>applicants</w:t>
      </w:r>
      <w:r w:rsidR="00D15565" w:rsidRPr="00E553F9">
        <w:rPr>
          <w:rFonts w:ascii="Arial" w:hAnsi="Arial" w:cs="Arial"/>
          <w:color w:val="auto"/>
        </w:rPr>
        <w:t xml:space="preserve"> must </w:t>
      </w:r>
      <w:r w:rsidR="005B5EEF" w:rsidRPr="00E553F9">
        <w:rPr>
          <w:rFonts w:ascii="Arial" w:hAnsi="Arial" w:cs="Arial"/>
          <w:color w:val="auto"/>
        </w:rPr>
        <w:t xml:space="preserve">request </w:t>
      </w:r>
      <w:r w:rsidR="005B5EEF" w:rsidRPr="00E553F9">
        <w:rPr>
          <w:rFonts w:ascii="Arial" w:hAnsi="Arial" w:cs="Arial"/>
          <w:i/>
          <w:iCs/>
          <w:color w:val="auto"/>
        </w:rPr>
        <w:t>one</w:t>
      </w:r>
      <w:r w:rsidR="005B5EEF" w:rsidRPr="00E553F9">
        <w:rPr>
          <w:rFonts w:ascii="Arial" w:hAnsi="Arial" w:cs="Arial"/>
          <w:color w:val="auto"/>
        </w:rPr>
        <w:t xml:space="preserve"> year’s worth of funding</w:t>
      </w:r>
      <w:r w:rsidR="00F54FA0" w:rsidRPr="00E553F9">
        <w:rPr>
          <w:rFonts w:ascii="Arial" w:hAnsi="Arial" w:cs="Arial"/>
          <w:color w:val="auto"/>
        </w:rPr>
        <w:t xml:space="preserve"> in applying to this FOA.</w:t>
      </w:r>
    </w:p>
    <w:p w14:paraId="1E9F67F2" w14:textId="77777777" w:rsidR="00DD7A0C" w:rsidRPr="00E553F9" w:rsidRDefault="00DD7A0C" w:rsidP="00652D27">
      <w:pPr>
        <w:pStyle w:val="Default"/>
        <w:rPr>
          <w:rFonts w:ascii="Arial" w:hAnsi="Arial" w:cs="Arial"/>
          <w:color w:val="auto"/>
        </w:rPr>
      </w:pPr>
    </w:p>
    <w:p w14:paraId="1A0EC4B9" w14:textId="712D0EBA" w:rsidR="00AF30D8" w:rsidRPr="00E553F9" w:rsidRDefault="00FC21DB" w:rsidP="00652D27">
      <w:pPr>
        <w:pStyle w:val="Default"/>
        <w:rPr>
          <w:rFonts w:ascii="Arial" w:hAnsi="Arial" w:cs="Arial"/>
          <w:color w:val="auto"/>
        </w:rPr>
      </w:pPr>
      <w:r w:rsidRPr="00E553F9">
        <w:rPr>
          <w:rFonts w:ascii="Arial" w:hAnsi="Arial" w:cs="Arial"/>
          <w:color w:val="auto"/>
        </w:rPr>
        <w:t>DOL will determine t</w:t>
      </w:r>
      <w:r w:rsidR="001D110D" w:rsidRPr="00E553F9">
        <w:rPr>
          <w:rFonts w:ascii="Arial" w:hAnsi="Arial" w:cs="Arial"/>
          <w:color w:val="auto"/>
        </w:rPr>
        <w:t xml:space="preserve">he </w:t>
      </w:r>
      <w:r w:rsidR="001D110D" w:rsidRPr="00E553F9">
        <w:rPr>
          <w:rFonts w:ascii="Arial" w:hAnsi="Arial" w:cs="Arial"/>
          <w:i/>
          <w:iCs/>
          <w:color w:val="auto"/>
        </w:rPr>
        <w:t>total</w:t>
      </w:r>
      <w:r w:rsidR="001D110D" w:rsidRPr="00E553F9">
        <w:rPr>
          <w:rFonts w:ascii="Arial" w:hAnsi="Arial" w:cs="Arial"/>
          <w:color w:val="auto"/>
        </w:rPr>
        <w:t xml:space="preserve"> funding awarded to the grantee or grantees in each state by applying the funding formula to the final fiscal year 2024 appropriation</w:t>
      </w:r>
      <w:r w:rsidR="00BC7710" w:rsidRPr="00E553F9">
        <w:rPr>
          <w:rFonts w:ascii="Arial" w:hAnsi="Arial" w:cs="Arial"/>
          <w:color w:val="auto"/>
        </w:rPr>
        <w:t>, which determines each</w:t>
      </w:r>
      <w:r w:rsidR="00731D68" w:rsidRPr="00E553F9">
        <w:rPr>
          <w:rFonts w:ascii="Arial" w:hAnsi="Arial" w:cs="Arial"/>
          <w:color w:val="auto"/>
        </w:rPr>
        <w:t xml:space="preserve"> state’s</w:t>
      </w:r>
      <w:r w:rsidR="00BC7710" w:rsidRPr="00E553F9">
        <w:rPr>
          <w:rFonts w:ascii="Arial" w:hAnsi="Arial" w:cs="Arial"/>
          <w:color w:val="auto"/>
        </w:rPr>
        <w:t xml:space="preserve"> total</w:t>
      </w:r>
      <w:r w:rsidR="00731D68" w:rsidRPr="00E553F9">
        <w:rPr>
          <w:rFonts w:ascii="Arial" w:hAnsi="Arial" w:cs="Arial"/>
          <w:color w:val="auto"/>
        </w:rPr>
        <w:t xml:space="preserve"> allotment</w:t>
      </w:r>
      <w:r w:rsidR="001D110D" w:rsidRPr="00E553F9">
        <w:rPr>
          <w:rFonts w:ascii="Arial" w:hAnsi="Arial" w:cs="Arial"/>
          <w:color w:val="auto"/>
        </w:rPr>
        <w:t xml:space="preserve">.  </w:t>
      </w:r>
      <w:r w:rsidR="00D96BA5" w:rsidRPr="00E553F9" w:rsidDel="00064A39">
        <w:rPr>
          <w:rFonts w:ascii="Arial" w:hAnsi="Arial" w:cs="Arial"/>
          <w:color w:val="auto"/>
        </w:rPr>
        <w:t xml:space="preserve">As the best proxy for estimating PY 2024 allotments, the FOA links to the program year 2023 allotments for Career Services and Training Grants in </w:t>
      </w:r>
      <w:hyperlink r:id="rId9" w:history="1">
        <w:r w:rsidR="00D96BA5" w:rsidRPr="000C6DCE" w:rsidDel="00064A39">
          <w:rPr>
            <w:rStyle w:val="Hyperlink"/>
            <w:rFonts w:ascii="Arial" w:hAnsi="Arial" w:cs="Arial"/>
            <w:color w:val="auto"/>
            <w:u w:val="none"/>
          </w:rPr>
          <w:t>Training and Employment Guidance Letter (TEGL) No. 17-22</w:t>
        </w:r>
      </w:hyperlink>
      <w:r w:rsidR="00D96BA5" w:rsidRPr="00E553F9" w:rsidDel="00064A39">
        <w:rPr>
          <w:rFonts w:ascii="Arial" w:hAnsi="Arial" w:cs="Arial"/>
          <w:color w:val="auto"/>
        </w:rPr>
        <w:t>.</w:t>
      </w:r>
    </w:p>
    <w:p w14:paraId="6B4BDC8F" w14:textId="77777777" w:rsidR="00AF30D8" w:rsidRPr="00E553F9" w:rsidRDefault="00AF30D8" w:rsidP="00652D27">
      <w:pPr>
        <w:pStyle w:val="Default"/>
        <w:rPr>
          <w:rFonts w:ascii="Arial" w:hAnsi="Arial" w:cs="Arial"/>
          <w:color w:val="auto"/>
        </w:rPr>
      </w:pPr>
    </w:p>
    <w:p w14:paraId="48A90105" w14:textId="3BD43987" w:rsidR="00E55953" w:rsidRPr="00E553F9" w:rsidRDefault="009722A0" w:rsidP="00652D27">
      <w:pPr>
        <w:pStyle w:val="Default"/>
        <w:rPr>
          <w:rFonts w:ascii="Arial" w:hAnsi="Arial" w:cs="Arial"/>
          <w:color w:val="auto"/>
        </w:rPr>
      </w:pPr>
      <w:r w:rsidRPr="00E553F9">
        <w:rPr>
          <w:rFonts w:ascii="Arial" w:hAnsi="Arial" w:cs="Arial"/>
          <w:color w:val="auto"/>
        </w:rPr>
        <w:t xml:space="preserve">In </w:t>
      </w:r>
      <w:r w:rsidR="00BF7A36" w:rsidRPr="00E553F9">
        <w:rPr>
          <w:rFonts w:ascii="Arial" w:hAnsi="Arial" w:cs="Arial"/>
          <w:color w:val="auto"/>
        </w:rPr>
        <w:t xml:space="preserve">a </w:t>
      </w:r>
      <w:r w:rsidRPr="00E553F9">
        <w:rPr>
          <w:rFonts w:ascii="Arial" w:hAnsi="Arial" w:cs="Arial"/>
          <w:color w:val="auto"/>
        </w:rPr>
        <w:t>state where the Department expects to award up to two grants, a</w:t>
      </w:r>
      <w:r w:rsidR="00A52505" w:rsidRPr="00E553F9">
        <w:rPr>
          <w:rFonts w:ascii="Arial" w:hAnsi="Arial" w:cs="Arial"/>
          <w:color w:val="auto"/>
        </w:rPr>
        <w:t xml:space="preserve">pplicants may choose to </w:t>
      </w:r>
      <w:r w:rsidR="00BF7A36" w:rsidRPr="00E553F9">
        <w:rPr>
          <w:rFonts w:ascii="Arial" w:hAnsi="Arial" w:cs="Arial"/>
          <w:color w:val="auto"/>
        </w:rPr>
        <w:t xml:space="preserve">apply for the full amount expected to be allotted </w:t>
      </w:r>
      <w:r w:rsidR="00B11255" w:rsidRPr="00E553F9">
        <w:rPr>
          <w:rFonts w:ascii="Arial" w:hAnsi="Arial" w:cs="Arial"/>
          <w:color w:val="auto"/>
        </w:rPr>
        <w:t xml:space="preserve">in that state, or may choose to apply for a smaller amount, commensurate with the scope and scale of </w:t>
      </w:r>
      <w:r w:rsidR="003E1547" w:rsidRPr="00E553F9">
        <w:rPr>
          <w:rFonts w:ascii="Arial" w:hAnsi="Arial" w:cs="Arial"/>
          <w:color w:val="auto"/>
        </w:rPr>
        <w:t xml:space="preserve">the applicant’s </w:t>
      </w:r>
      <w:r w:rsidR="00B11255" w:rsidRPr="00E553F9">
        <w:rPr>
          <w:rFonts w:ascii="Arial" w:hAnsi="Arial" w:cs="Arial"/>
          <w:color w:val="auto"/>
        </w:rPr>
        <w:t>proposed project.</w:t>
      </w:r>
      <w:r w:rsidR="003E1547" w:rsidRPr="00E553F9">
        <w:rPr>
          <w:rFonts w:ascii="Arial" w:hAnsi="Arial" w:cs="Arial"/>
          <w:color w:val="auto"/>
        </w:rPr>
        <w:t xml:space="preserve">  </w:t>
      </w:r>
      <w:r w:rsidR="00111D0F" w:rsidRPr="00E553F9">
        <w:rPr>
          <w:rFonts w:ascii="Arial" w:hAnsi="Arial" w:cs="Arial"/>
          <w:color w:val="auto"/>
        </w:rPr>
        <w:t>I</w:t>
      </w:r>
      <w:r w:rsidR="003E1547" w:rsidRPr="00E553F9">
        <w:rPr>
          <w:rFonts w:ascii="Arial" w:hAnsi="Arial" w:cs="Arial"/>
          <w:color w:val="auto"/>
        </w:rPr>
        <w:t xml:space="preserve">n California, where the Department intends to award up to seven grants, applicants </w:t>
      </w:r>
      <w:r w:rsidR="00D22E18" w:rsidRPr="00E553F9">
        <w:rPr>
          <w:rFonts w:ascii="Arial" w:hAnsi="Arial" w:cs="Arial"/>
          <w:color w:val="auto"/>
        </w:rPr>
        <w:t>are to request the amount of grant funding commensurate with the scope and scale of the project proposed</w:t>
      </w:r>
      <w:r w:rsidR="00A63610" w:rsidRPr="00E553F9">
        <w:rPr>
          <w:rFonts w:ascii="Arial" w:hAnsi="Arial" w:cs="Arial"/>
          <w:color w:val="auto"/>
        </w:rPr>
        <w:t>, and</w:t>
      </w:r>
      <w:r w:rsidR="00372BC0" w:rsidRPr="00E553F9">
        <w:rPr>
          <w:rFonts w:ascii="Arial" w:hAnsi="Arial" w:cs="Arial"/>
          <w:color w:val="auto"/>
        </w:rPr>
        <w:t xml:space="preserve"> </w:t>
      </w:r>
      <w:r w:rsidR="00711EBF" w:rsidRPr="00E553F9">
        <w:rPr>
          <w:rFonts w:ascii="Arial" w:hAnsi="Arial" w:cs="Arial"/>
          <w:color w:val="auto"/>
        </w:rPr>
        <w:t xml:space="preserve">the Department expects award amounts to </w:t>
      </w:r>
      <w:r w:rsidR="003663A1" w:rsidRPr="00E553F9">
        <w:rPr>
          <w:rFonts w:ascii="Arial" w:hAnsi="Arial" w:cs="Arial"/>
          <w:color w:val="auto"/>
        </w:rPr>
        <w:t xml:space="preserve">range from </w:t>
      </w:r>
      <w:r w:rsidR="006A0BAC" w:rsidRPr="00E553F9">
        <w:rPr>
          <w:rFonts w:ascii="Arial" w:hAnsi="Arial" w:cs="Arial"/>
          <w:color w:val="auto"/>
        </w:rPr>
        <w:t xml:space="preserve">approximately $1 million </w:t>
      </w:r>
      <w:r w:rsidR="006E7432" w:rsidRPr="00E553F9">
        <w:rPr>
          <w:rFonts w:ascii="Arial" w:hAnsi="Arial" w:cs="Arial"/>
          <w:color w:val="auto"/>
        </w:rPr>
        <w:t>to $8 million.</w:t>
      </w:r>
      <w:r w:rsidR="00C84311" w:rsidRPr="00E553F9">
        <w:rPr>
          <w:rFonts w:ascii="Arial" w:hAnsi="Arial" w:cs="Arial"/>
          <w:color w:val="auto"/>
        </w:rPr>
        <w:t xml:space="preserve"> </w:t>
      </w:r>
      <w:r w:rsidR="39D2E74F" w:rsidRPr="00E553F9">
        <w:rPr>
          <w:rFonts w:ascii="Arial" w:hAnsi="Arial" w:cs="Arial"/>
          <w:color w:val="auto"/>
        </w:rPr>
        <w:t>In a state where the Department expects to award only one grant, the Department generally expects that applicants will apply for the full amount expected to be allotted in that state.</w:t>
      </w:r>
      <w:r w:rsidR="00C84311" w:rsidRPr="00E553F9">
        <w:rPr>
          <w:rFonts w:ascii="Arial" w:hAnsi="Arial" w:cs="Arial"/>
          <w:color w:val="auto"/>
        </w:rPr>
        <w:t xml:space="preserve"> </w:t>
      </w:r>
    </w:p>
    <w:p w14:paraId="5E7A03B9" w14:textId="683F9227" w:rsidR="00E55953" w:rsidRPr="00E553F9" w:rsidRDefault="00E55953" w:rsidP="00652D27">
      <w:pPr>
        <w:pStyle w:val="Default"/>
        <w:rPr>
          <w:rFonts w:ascii="Arial" w:hAnsi="Arial" w:cs="Arial"/>
          <w:color w:val="auto"/>
        </w:rPr>
      </w:pPr>
    </w:p>
    <w:p w14:paraId="0DB39AF5" w14:textId="3C2759C8" w:rsidR="00E55953" w:rsidRPr="00E553F9" w:rsidRDefault="00C84311" w:rsidP="00652D27">
      <w:pPr>
        <w:pStyle w:val="Default"/>
        <w:rPr>
          <w:rFonts w:ascii="Arial" w:hAnsi="Arial" w:cs="Arial"/>
          <w:color w:val="auto"/>
        </w:rPr>
      </w:pPr>
      <w:r w:rsidRPr="00E553F9">
        <w:rPr>
          <w:rFonts w:ascii="Arial" w:hAnsi="Arial" w:cs="Arial"/>
          <w:color w:val="auto"/>
        </w:rPr>
        <w:t xml:space="preserve">In </w:t>
      </w:r>
      <w:r w:rsidR="00DB43B0" w:rsidRPr="00E553F9">
        <w:rPr>
          <w:rFonts w:ascii="Arial" w:hAnsi="Arial" w:cs="Arial"/>
          <w:color w:val="auto"/>
        </w:rPr>
        <w:t xml:space="preserve">general, </w:t>
      </w:r>
      <w:r w:rsidRPr="00E553F9">
        <w:rPr>
          <w:rFonts w:ascii="Arial" w:hAnsi="Arial" w:cs="Arial"/>
          <w:color w:val="auto"/>
        </w:rPr>
        <w:t>the Department may award applicants less fund</w:t>
      </w:r>
      <w:r w:rsidR="009522AA" w:rsidRPr="00E553F9">
        <w:rPr>
          <w:rFonts w:ascii="Arial" w:hAnsi="Arial" w:cs="Arial"/>
          <w:color w:val="auto"/>
        </w:rPr>
        <w:t>ing</w:t>
      </w:r>
      <w:r w:rsidRPr="00E553F9">
        <w:rPr>
          <w:rFonts w:ascii="Arial" w:hAnsi="Arial" w:cs="Arial"/>
          <w:color w:val="auto"/>
        </w:rPr>
        <w:t xml:space="preserve"> than requested</w:t>
      </w:r>
      <w:r w:rsidR="00DB43B0" w:rsidRPr="00E553F9">
        <w:rPr>
          <w:rFonts w:ascii="Arial" w:hAnsi="Arial" w:cs="Arial"/>
          <w:color w:val="auto"/>
        </w:rPr>
        <w:t xml:space="preserve">, </w:t>
      </w:r>
      <w:r w:rsidR="00FF34A5" w:rsidRPr="00E553F9">
        <w:rPr>
          <w:rFonts w:ascii="Arial" w:hAnsi="Arial" w:cs="Arial"/>
          <w:color w:val="auto"/>
        </w:rPr>
        <w:t>particularly</w:t>
      </w:r>
      <w:r w:rsidR="00DB43B0" w:rsidRPr="00E553F9">
        <w:rPr>
          <w:rFonts w:ascii="Arial" w:hAnsi="Arial" w:cs="Arial"/>
          <w:color w:val="auto"/>
        </w:rPr>
        <w:t xml:space="preserve"> in states where it expects to award more than one grant</w:t>
      </w:r>
      <w:r w:rsidRPr="00E553F9">
        <w:rPr>
          <w:rFonts w:ascii="Arial" w:hAnsi="Arial" w:cs="Arial"/>
          <w:color w:val="auto"/>
        </w:rPr>
        <w:t xml:space="preserve">.  As explained in section VI.A. of this FOA, </w:t>
      </w:r>
      <w:r w:rsidR="005B67A1" w:rsidRPr="00E553F9">
        <w:rPr>
          <w:rFonts w:ascii="Arial" w:hAnsi="Arial" w:cs="Arial"/>
          <w:color w:val="auto"/>
        </w:rPr>
        <w:t>b</w:t>
      </w:r>
      <w:r w:rsidRPr="00E553F9">
        <w:rPr>
          <w:rFonts w:ascii="Arial" w:hAnsi="Arial" w:cs="Arial"/>
          <w:color w:val="auto"/>
        </w:rPr>
        <w:t xml:space="preserve">efore the actual grant is awarded, </w:t>
      </w:r>
      <w:r w:rsidR="005B67A1" w:rsidRPr="00E553F9">
        <w:rPr>
          <w:rFonts w:ascii="Arial" w:hAnsi="Arial" w:cs="Arial"/>
          <w:color w:val="auto"/>
        </w:rPr>
        <w:t xml:space="preserve">the Department </w:t>
      </w:r>
      <w:r w:rsidRPr="00E553F9">
        <w:rPr>
          <w:rFonts w:ascii="Arial" w:hAnsi="Arial" w:cs="Arial"/>
          <w:color w:val="auto"/>
        </w:rPr>
        <w:t xml:space="preserve">may enter into </w:t>
      </w:r>
      <w:r w:rsidR="005B67A1" w:rsidRPr="00E553F9">
        <w:rPr>
          <w:rFonts w:ascii="Arial" w:hAnsi="Arial" w:cs="Arial"/>
          <w:color w:val="auto"/>
        </w:rPr>
        <w:t>n</w:t>
      </w:r>
      <w:r w:rsidRPr="00E553F9">
        <w:rPr>
          <w:rFonts w:ascii="Arial" w:hAnsi="Arial" w:cs="Arial"/>
          <w:color w:val="auto"/>
        </w:rPr>
        <w:t>egotiations about such items as program components, staffing and funding levels, and</w:t>
      </w:r>
      <w:r w:rsidR="005B67A1" w:rsidRPr="00E553F9">
        <w:rPr>
          <w:rFonts w:ascii="Arial" w:hAnsi="Arial" w:cs="Arial"/>
          <w:color w:val="auto"/>
        </w:rPr>
        <w:t xml:space="preserve"> </w:t>
      </w:r>
      <w:r w:rsidRPr="00E553F9">
        <w:rPr>
          <w:rFonts w:ascii="Arial" w:hAnsi="Arial" w:cs="Arial"/>
          <w:color w:val="auto"/>
        </w:rPr>
        <w:t>administrative systems in place to support grant implementation.</w:t>
      </w:r>
    </w:p>
    <w:p w14:paraId="3D010E0E" w14:textId="2652070E" w:rsidR="00A10C55" w:rsidRDefault="00064A39" w:rsidP="00652D27">
      <w:pPr>
        <w:pStyle w:val="Default"/>
        <w:rPr>
          <w:rFonts w:ascii="Arial" w:hAnsi="Arial" w:cs="Arial"/>
          <w:color w:val="auto"/>
        </w:rPr>
      </w:pPr>
      <w:r w:rsidRPr="00E553F9">
        <w:rPr>
          <w:rFonts w:ascii="Arial" w:hAnsi="Arial" w:cs="Arial"/>
          <w:color w:val="auto"/>
        </w:rPr>
        <w:t xml:space="preserve"> </w:t>
      </w:r>
    </w:p>
    <w:p w14:paraId="1A54C389" w14:textId="77777777" w:rsidR="00652D27" w:rsidRDefault="00652D27" w:rsidP="00652D27">
      <w:pPr>
        <w:pStyle w:val="Default"/>
        <w:rPr>
          <w:rFonts w:ascii="Arial" w:hAnsi="Arial" w:cs="Arial"/>
          <w:color w:val="auto"/>
        </w:rPr>
      </w:pPr>
    </w:p>
    <w:p w14:paraId="26FDD80E" w14:textId="77777777" w:rsidR="00652D27" w:rsidRPr="00E553F9" w:rsidRDefault="00652D27" w:rsidP="00652D27">
      <w:pPr>
        <w:pStyle w:val="Default"/>
        <w:rPr>
          <w:rFonts w:ascii="Arial" w:hAnsi="Arial" w:cs="Arial"/>
          <w:color w:val="auto"/>
        </w:rPr>
      </w:pPr>
    </w:p>
    <w:p w14:paraId="5746DA72" w14:textId="4ED0868B" w:rsidR="00DC6191" w:rsidRPr="00E553F9" w:rsidRDefault="00F02631" w:rsidP="00652D27">
      <w:pPr>
        <w:pStyle w:val="Default"/>
        <w:numPr>
          <w:ilvl w:val="0"/>
          <w:numId w:val="2"/>
        </w:numPr>
        <w:ind w:left="0"/>
        <w:rPr>
          <w:rFonts w:ascii="Arial" w:hAnsi="Arial" w:cs="Arial"/>
          <w:b/>
          <w:bCs/>
          <w:color w:val="auto"/>
        </w:rPr>
      </w:pPr>
      <w:r w:rsidRPr="00E553F9">
        <w:rPr>
          <w:rFonts w:ascii="Arial" w:hAnsi="Arial" w:cs="Arial"/>
          <w:b/>
          <w:bCs/>
          <w:color w:val="auto"/>
        </w:rPr>
        <w:lastRenderedPageBreak/>
        <w:t>Related to Question #</w:t>
      </w:r>
      <w:r w:rsidR="00E46D9D" w:rsidRPr="00E553F9">
        <w:rPr>
          <w:rFonts w:ascii="Arial" w:hAnsi="Arial" w:cs="Arial"/>
          <w:b/>
          <w:bCs/>
          <w:color w:val="auto"/>
        </w:rPr>
        <w:t>3</w:t>
      </w:r>
      <w:r w:rsidRPr="00E553F9">
        <w:rPr>
          <w:rFonts w:ascii="Arial" w:hAnsi="Arial" w:cs="Arial"/>
          <w:b/>
          <w:bCs/>
          <w:color w:val="auto"/>
        </w:rPr>
        <w:t xml:space="preserve"> above</w:t>
      </w:r>
      <w:r w:rsidR="00DC6191" w:rsidRPr="00E553F9">
        <w:rPr>
          <w:rFonts w:ascii="Arial" w:hAnsi="Arial" w:cs="Arial"/>
          <w:b/>
          <w:bCs/>
          <w:color w:val="auto"/>
        </w:rPr>
        <w:t xml:space="preserve">, how will the Department determine whether to award multiple grants within </w:t>
      </w:r>
      <w:r w:rsidR="00CE3A20" w:rsidRPr="00E553F9">
        <w:rPr>
          <w:rFonts w:ascii="Arial" w:hAnsi="Arial" w:cs="Arial"/>
          <w:b/>
          <w:bCs/>
          <w:color w:val="auto"/>
        </w:rPr>
        <w:t>certain</w:t>
      </w:r>
      <w:r w:rsidR="00DC6191" w:rsidRPr="00E553F9">
        <w:rPr>
          <w:rFonts w:ascii="Arial" w:hAnsi="Arial" w:cs="Arial"/>
          <w:b/>
          <w:bCs/>
          <w:color w:val="auto"/>
        </w:rPr>
        <w:t xml:space="preserve"> state</w:t>
      </w:r>
      <w:r w:rsidR="00CE3A20" w:rsidRPr="00E553F9">
        <w:rPr>
          <w:rFonts w:ascii="Arial" w:hAnsi="Arial" w:cs="Arial"/>
          <w:b/>
          <w:bCs/>
          <w:color w:val="auto"/>
        </w:rPr>
        <w:t>s</w:t>
      </w:r>
      <w:r w:rsidR="00DC6191" w:rsidRPr="00E553F9">
        <w:rPr>
          <w:rFonts w:ascii="Arial" w:hAnsi="Arial" w:cs="Arial"/>
          <w:b/>
          <w:bCs/>
          <w:color w:val="auto"/>
        </w:rPr>
        <w:t>, and how will it determine each grantee’s service area in states where multiple grants are awarded?</w:t>
      </w:r>
    </w:p>
    <w:p w14:paraId="584C13D1" w14:textId="77777777" w:rsidR="00DC6191" w:rsidRPr="00E553F9" w:rsidRDefault="00DC6191" w:rsidP="00652D27">
      <w:pPr>
        <w:pStyle w:val="Default"/>
        <w:rPr>
          <w:rFonts w:ascii="Arial" w:hAnsi="Arial" w:cs="Arial"/>
          <w:color w:val="auto"/>
        </w:rPr>
      </w:pPr>
    </w:p>
    <w:p w14:paraId="03FA763B" w14:textId="3A774A88" w:rsidR="00A10C55" w:rsidRPr="00E553F9" w:rsidRDefault="009C73D4" w:rsidP="00652D27">
      <w:pPr>
        <w:pStyle w:val="Default"/>
        <w:rPr>
          <w:rFonts w:ascii="Arial" w:hAnsi="Arial" w:cs="Arial"/>
          <w:color w:val="auto"/>
        </w:rPr>
      </w:pPr>
      <w:r w:rsidRPr="00E553F9">
        <w:rPr>
          <w:rFonts w:ascii="Arial" w:hAnsi="Arial" w:cs="Arial"/>
          <w:color w:val="auto"/>
        </w:rPr>
        <w:t xml:space="preserve">Through the review and selection process described in Section V.B. of the FOA, the Department will make award decisions </w:t>
      </w:r>
      <w:r w:rsidR="00D610EA" w:rsidRPr="00E553F9">
        <w:rPr>
          <w:rFonts w:ascii="Arial" w:hAnsi="Arial" w:cs="Arial"/>
          <w:color w:val="auto"/>
        </w:rPr>
        <w:t xml:space="preserve">that best achieve the </w:t>
      </w:r>
      <w:r w:rsidR="00627F9B" w:rsidRPr="00E553F9">
        <w:rPr>
          <w:rFonts w:ascii="Arial" w:hAnsi="Arial" w:cs="Arial"/>
          <w:color w:val="auto"/>
        </w:rPr>
        <w:t xml:space="preserve">goals and objectives of the FOA and NFJP.  </w:t>
      </w:r>
      <w:r w:rsidR="006E1D44" w:rsidRPr="00E553F9">
        <w:rPr>
          <w:rFonts w:ascii="Arial" w:hAnsi="Arial" w:cs="Arial"/>
          <w:color w:val="auto"/>
        </w:rPr>
        <w:t xml:space="preserve">Whether the Department awards </w:t>
      </w:r>
      <w:r w:rsidR="00C92088" w:rsidRPr="00E553F9">
        <w:rPr>
          <w:rFonts w:ascii="Arial" w:hAnsi="Arial" w:cs="Arial"/>
          <w:color w:val="auto"/>
        </w:rPr>
        <w:t>multiple grants within a given stat</w:t>
      </w:r>
      <w:r w:rsidR="00707B4E" w:rsidRPr="00E553F9">
        <w:rPr>
          <w:rFonts w:ascii="Arial" w:hAnsi="Arial" w:cs="Arial"/>
          <w:color w:val="auto"/>
        </w:rPr>
        <w:t xml:space="preserve">e, </w:t>
      </w:r>
      <w:r w:rsidR="007A3E41" w:rsidRPr="00E553F9">
        <w:rPr>
          <w:rFonts w:ascii="Arial" w:hAnsi="Arial" w:cs="Arial"/>
          <w:color w:val="auto"/>
        </w:rPr>
        <w:t xml:space="preserve">how much funding </w:t>
      </w:r>
      <w:r w:rsidR="009801CB" w:rsidRPr="00E553F9">
        <w:rPr>
          <w:rFonts w:ascii="Arial" w:hAnsi="Arial" w:cs="Arial"/>
          <w:color w:val="auto"/>
        </w:rPr>
        <w:t>it awards each grante</w:t>
      </w:r>
      <w:r w:rsidR="004B7096" w:rsidRPr="00E553F9">
        <w:rPr>
          <w:rFonts w:ascii="Arial" w:hAnsi="Arial" w:cs="Arial"/>
          <w:color w:val="auto"/>
        </w:rPr>
        <w:t>e</w:t>
      </w:r>
      <w:r w:rsidR="00707B4E" w:rsidRPr="00E553F9">
        <w:rPr>
          <w:rFonts w:ascii="Arial" w:hAnsi="Arial" w:cs="Arial"/>
          <w:color w:val="auto"/>
        </w:rPr>
        <w:t xml:space="preserve">, and </w:t>
      </w:r>
      <w:r w:rsidR="00AA1CE3" w:rsidRPr="00E553F9">
        <w:rPr>
          <w:rFonts w:ascii="Arial" w:hAnsi="Arial" w:cs="Arial"/>
          <w:color w:val="auto"/>
        </w:rPr>
        <w:t>how each grantee’s service area is defined</w:t>
      </w:r>
      <w:r w:rsidR="24E2F20E" w:rsidRPr="00E553F9">
        <w:rPr>
          <w:rFonts w:ascii="Arial" w:hAnsi="Arial" w:cs="Arial"/>
          <w:color w:val="auto"/>
        </w:rPr>
        <w:t>,</w:t>
      </w:r>
      <w:r w:rsidR="00AA1CE3" w:rsidRPr="00E553F9">
        <w:rPr>
          <w:rFonts w:ascii="Arial" w:hAnsi="Arial" w:cs="Arial"/>
          <w:color w:val="auto"/>
        </w:rPr>
        <w:t xml:space="preserve"> </w:t>
      </w:r>
      <w:r w:rsidR="00C92088" w:rsidRPr="00E553F9">
        <w:rPr>
          <w:rFonts w:ascii="Arial" w:hAnsi="Arial" w:cs="Arial"/>
          <w:color w:val="auto"/>
        </w:rPr>
        <w:t>wil</w:t>
      </w:r>
      <w:r w:rsidR="004867D0" w:rsidRPr="00E553F9">
        <w:rPr>
          <w:rFonts w:ascii="Arial" w:hAnsi="Arial" w:cs="Arial"/>
          <w:color w:val="auto"/>
        </w:rPr>
        <w:t xml:space="preserve">l depend on </w:t>
      </w:r>
      <w:r w:rsidR="002B3FB5" w:rsidRPr="00E553F9">
        <w:rPr>
          <w:rFonts w:ascii="Arial" w:hAnsi="Arial" w:cs="Arial"/>
          <w:color w:val="auto"/>
        </w:rPr>
        <w:t xml:space="preserve">the applications </w:t>
      </w:r>
      <w:r w:rsidR="00836CD8" w:rsidRPr="00E553F9">
        <w:rPr>
          <w:rFonts w:ascii="Arial" w:hAnsi="Arial" w:cs="Arial"/>
          <w:color w:val="auto"/>
        </w:rPr>
        <w:t xml:space="preserve">the Department </w:t>
      </w:r>
      <w:r w:rsidR="002B3FB5" w:rsidRPr="00E553F9">
        <w:rPr>
          <w:rFonts w:ascii="Arial" w:hAnsi="Arial" w:cs="Arial"/>
          <w:color w:val="auto"/>
        </w:rPr>
        <w:t>receives</w:t>
      </w:r>
      <w:r w:rsidR="00E17733" w:rsidRPr="00E553F9">
        <w:rPr>
          <w:rFonts w:ascii="Arial" w:hAnsi="Arial" w:cs="Arial"/>
          <w:color w:val="auto"/>
        </w:rPr>
        <w:t>,</w:t>
      </w:r>
      <w:r w:rsidR="002B3FB5" w:rsidRPr="00E553F9">
        <w:rPr>
          <w:rFonts w:ascii="Arial" w:hAnsi="Arial" w:cs="Arial"/>
          <w:color w:val="auto"/>
        </w:rPr>
        <w:t xml:space="preserve"> the </w:t>
      </w:r>
      <w:r w:rsidR="00627F9B" w:rsidRPr="00E553F9">
        <w:rPr>
          <w:rFonts w:ascii="Arial" w:hAnsi="Arial" w:cs="Arial"/>
          <w:color w:val="auto"/>
        </w:rPr>
        <w:t>final scores</w:t>
      </w:r>
      <w:r w:rsidR="002B3FB5" w:rsidRPr="00E553F9">
        <w:rPr>
          <w:rFonts w:ascii="Arial" w:hAnsi="Arial" w:cs="Arial"/>
          <w:color w:val="auto"/>
        </w:rPr>
        <w:t xml:space="preserve"> of those</w:t>
      </w:r>
      <w:r w:rsidR="002D482A" w:rsidRPr="00E553F9">
        <w:rPr>
          <w:rFonts w:ascii="Arial" w:hAnsi="Arial" w:cs="Arial"/>
          <w:color w:val="auto"/>
        </w:rPr>
        <w:t xml:space="preserve"> applications as determined through the review and selection process</w:t>
      </w:r>
      <w:r w:rsidR="00CB0A5E" w:rsidRPr="00E553F9">
        <w:rPr>
          <w:rFonts w:ascii="Arial" w:hAnsi="Arial" w:cs="Arial"/>
          <w:color w:val="auto"/>
        </w:rPr>
        <w:t>, and other relevant factors when applicable</w:t>
      </w:r>
      <w:r w:rsidR="002D482A" w:rsidRPr="00E553F9">
        <w:rPr>
          <w:rFonts w:ascii="Arial" w:hAnsi="Arial" w:cs="Arial"/>
          <w:color w:val="auto"/>
        </w:rPr>
        <w:t>.</w:t>
      </w:r>
      <w:r w:rsidR="00CB0A5E" w:rsidRPr="00E553F9">
        <w:rPr>
          <w:rFonts w:ascii="Arial" w:hAnsi="Arial" w:cs="Arial"/>
          <w:color w:val="auto"/>
        </w:rPr>
        <w:t xml:space="preserve">  Section V.B.1. of the FOA specifies that such factors </w:t>
      </w:r>
      <w:r w:rsidR="00C06594" w:rsidRPr="00E553F9">
        <w:rPr>
          <w:rFonts w:ascii="Arial" w:hAnsi="Arial" w:cs="Arial"/>
          <w:color w:val="auto"/>
        </w:rPr>
        <w:t>may include the geographic distribution of funds; category of applicant; target population such as adult participants, youth participants, or both adult and youth participants; available funding; proposed service area; coverage for Significant Migrant and Seasonal Farmworker States; selected sector(s); and other relevant factors.</w:t>
      </w:r>
    </w:p>
    <w:p w14:paraId="231F8CF6" w14:textId="77777777" w:rsidR="000A42B4" w:rsidRPr="00E553F9" w:rsidRDefault="000A42B4" w:rsidP="00652D27">
      <w:pPr>
        <w:pStyle w:val="Default"/>
        <w:rPr>
          <w:rFonts w:ascii="Arial" w:hAnsi="Arial" w:cs="Arial"/>
          <w:color w:val="auto"/>
        </w:rPr>
      </w:pPr>
    </w:p>
    <w:p w14:paraId="7CAD7FCB" w14:textId="0D731874" w:rsidR="000A42B4" w:rsidRDefault="00F02DE4" w:rsidP="00652D27">
      <w:pPr>
        <w:pStyle w:val="Default"/>
        <w:rPr>
          <w:rFonts w:ascii="Arial" w:hAnsi="Arial" w:cs="Arial"/>
          <w:color w:val="auto"/>
        </w:rPr>
      </w:pPr>
      <w:r w:rsidRPr="00E553F9">
        <w:rPr>
          <w:rFonts w:ascii="Arial" w:hAnsi="Arial" w:cs="Arial"/>
          <w:color w:val="auto"/>
        </w:rPr>
        <w:t>Note that</w:t>
      </w:r>
      <w:r w:rsidR="00D97CA6" w:rsidRPr="00E553F9">
        <w:rPr>
          <w:rFonts w:ascii="Arial" w:hAnsi="Arial" w:cs="Arial"/>
          <w:color w:val="auto"/>
        </w:rPr>
        <w:t>, as specified in Section II.A. of the FOA, awards made under this FOA are subject to the availability of federal funds</w:t>
      </w:r>
      <w:r w:rsidR="004C7837" w:rsidRPr="00E553F9">
        <w:rPr>
          <w:rFonts w:ascii="Arial" w:hAnsi="Arial" w:cs="Arial"/>
          <w:color w:val="auto"/>
        </w:rPr>
        <w:t>.  I</w:t>
      </w:r>
      <w:r w:rsidR="001B03FD" w:rsidRPr="00E553F9">
        <w:rPr>
          <w:rFonts w:ascii="Arial" w:hAnsi="Arial" w:cs="Arial"/>
          <w:color w:val="auto"/>
        </w:rPr>
        <w:t xml:space="preserve">n </w:t>
      </w:r>
      <w:r w:rsidR="007F0BF2" w:rsidRPr="00E553F9">
        <w:rPr>
          <w:rFonts w:ascii="Arial" w:hAnsi="Arial" w:cs="Arial"/>
          <w:color w:val="auto"/>
        </w:rPr>
        <w:t xml:space="preserve">a </w:t>
      </w:r>
      <w:r w:rsidR="001B03FD" w:rsidRPr="00E553F9">
        <w:rPr>
          <w:rFonts w:ascii="Arial" w:hAnsi="Arial" w:cs="Arial"/>
          <w:color w:val="auto"/>
        </w:rPr>
        <w:t xml:space="preserve">state where the Department </w:t>
      </w:r>
      <w:r w:rsidR="007F0BF2" w:rsidRPr="00E553F9">
        <w:rPr>
          <w:rFonts w:ascii="Arial" w:hAnsi="Arial" w:cs="Arial"/>
          <w:color w:val="auto"/>
        </w:rPr>
        <w:t xml:space="preserve">selects more than one grantee, </w:t>
      </w:r>
      <w:r w:rsidR="00754D0B" w:rsidRPr="00E553F9">
        <w:rPr>
          <w:rFonts w:ascii="Arial" w:hAnsi="Arial" w:cs="Arial"/>
          <w:color w:val="auto"/>
        </w:rPr>
        <w:t xml:space="preserve">the total of the amounts awarded to such grantees </w:t>
      </w:r>
      <w:r w:rsidR="00974CAD" w:rsidRPr="00E553F9">
        <w:rPr>
          <w:rFonts w:ascii="Arial" w:hAnsi="Arial" w:cs="Arial"/>
          <w:color w:val="auto"/>
        </w:rPr>
        <w:t xml:space="preserve">will </w:t>
      </w:r>
      <w:r w:rsidR="00634374" w:rsidRPr="00E553F9">
        <w:rPr>
          <w:rFonts w:ascii="Arial" w:hAnsi="Arial" w:cs="Arial"/>
          <w:color w:val="auto"/>
        </w:rPr>
        <w:t xml:space="preserve">equal </w:t>
      </w:r>
      <w:r w:rsidR="00974CAD" w:rsidRPr="00E553F9">
        <w:rPr>
          <w:rFonts w:ascii="Arial" w:hAnsi="Arial" w:cs="Arial"/>
          <w:color w:val="auto"/>
        </w:rPr>
        <w:t xml:space="preserve">the total </w:t>
      </w:r>
      <w:r w:rsidR="00207EB0" w:rsidRPr="00E553F9">
        <w:rPr>
          <w:rFonts w:ascii="Arial" w:hAnsi="Arial" w:cs="Arial"/>
          <w:color w:val="auto"/>
        </w:rPr>
        <w:t>funding allotted to that state</w:t>
      </w:r>
      <w:r w:rsidR="00D65C2E" w:rsidRPr="00E553F9">
        <w:rPr>
          <w:rFonts w:ascii="Arial" w:hAnsi="Arial" w:cs="Arial"/>
          <w:color w:val="auto"/>
        </w:rPr>
        <w:t xml:space="preserve"> via the NFJP funding formula.</w:t>
      </w:r>
      <w:r w:rsidR="00755ED9" w:rsidRPr="00E553F9">
        <w:rPr>
          <w:rFonts w:ascii="Arial" w:hAnsi="Arial" w:cs="Arial"/>
          <w:color w:val="auto"/>
        </w:rPr>
        <w:t xml:space="preserve">  </w:t>
      </w:r>
      <w:r w:rsidR="00221483" w:rsidRPr="00E553F9">
        <w:rPr>
          <w:rFonts w:ascii="Arial" w:hAnsi="Arial" w:cs="Arial"/>
          <w:color w:val="auto"/>
        </w:rPr>
        <w:t xml:space="preserve">As noted above, </w:t>
      </w:r>
      <w:r w:rsidR="00FA313B" w:rsidRPr="00E553F9">
        <w:rPr>
          <w:rFonts w:ascii="Arial" w:hAnsi="Arial" w:cs="Arial"/>
          <w:color w:val="auto"/>
        </w:rPr>
        <w:t xml:space="preserve">the Department may award applicants less funding than requested, particularly in states where it expects to award more than one grant.  </w:t>
      </w:r>
      <w:r w:rsidR="001F0CCD" w:rsidRPr="00E553F9">
        <w:rPr>
          <w:rFonts w:ascii="Arial" w:hAnsi="Arial" w:cs="Arial"/>
          <w:color w:val="auto"/>
        </w:rPr>
        <w:t xml:space="preserve">Consistent with the Department’s general award practices, </w:t>
      </w:r>
      <w:r w:rsidR="00760310" w:rsidRPr="00E553F9">
        <w:rPr>
          <w:rFonts w:ascii="Arial" w:hAnsi="Arial" w:cs="Arial"/>
          <w:color w:val="auto"/>
        </w:rPr>
        <w:t>i</w:t>
      </w:r>
      <w:r w:rsidR="00755ED9" w:rsidRPr="00E553F9">
        <w:rPr>
          <w:rFonts w:ascii="Arial" w:hAnsi="Arial" w:cs="Arial"/>
          <w:color w:val="auto"/>
        </w:rPr>
        <w:t>n instance</w:t>
      </w:r>
      <w:r w:rsidR="00760310" w:rsidRPr="00E553F9">
        <w:rPr>
          <w:rFonts w:ascii="Arial" w:hAnsi="Arial" w:cs="Arial"/>
          <w:color w:val="auto"/>
        </w:rPr>
        <w:t>s</w:t>
      </w:r>
      <w:r w:rsidR="00CC47AA" w:rsidRPr="00E553F9">
        <w:rPr>
          <w:rFonts w:ascii="Arial" w:hAnsi="Arial" w:cs="Arial"/>
          <w:color w:val="auto"/>
        </w:rPr>
        <w:t xml:space="preserve"> where it must award a lower amount than originally requested by an applicant</w:t>
      </w:r>
      <w:r w:rsidR="00755ED9" w:rsidRPr="00E553F9">
        <w:rPr>
          <w:rFonts w:ascii="Arial" w:hAnsi="Arial" w:cs="Arial"/>
          <w:color w:val="auto"/>
        </w:rPr>
        <w:t>,</w:t>
      </w:r>
      <w:r w:rsidR="00FF268A" w:rsidRPr="00E553F9">
        <w:rPr>
          <w:rFonts w:ascii="Arial" w:hAnsi="Arial" w:cs="Arial"/>
          <w:color w:val="auto"/>
        </w:rPr>
        <w:t xml:space="preserve"> the Department will request </w:t>
      </w:r>
      <w:r w:rsidR="007A1E0C" w:rsidRPr="00E553F9">
        <w:rPr>
          <w:rFonts w:ascii="Arial" w:hAnsi="Arial" w:cs="Arial"/>
          <w:color w:val="auto"/>
        </w:rPr>
        <w:t xml:space="preserve">modified </w:t>
      </w:r>
      <w:r w:rsidR="00FF268A" w:rsidRPr="00E553F9">
        <w:rPr>
          <w:rFonts w:ascii="Arial" w:hAnsi="Arial" w:cs="Arial"/>
          <w:color w:val="auto"/>
        </w:rPr>
        <w:t>grant documents</w:t>
      </w:r>
      <w:r w:rsidR="005C1797" w:rsidRPr="00E553F9">
        <w:rPr>
          <w:rFonts w:ascii="Arial" w:hAnsi="Arial" w:cs="Arial"/>
          <w:color w:val="auto"/>
        </w:rPr>
        <w:t xml:space="preserve"> that correspond to the </w:t>
      </w:r>
      <w:r w:rsidR="007A1E0C" w:rsidRPr="00E553F9">
        <w:rPr>
          <w:rFonts w:ascii="Arial" w:hAnsi="Arial" w:cs="Arial"/>
          <w:color w:val="auto"/>
        </w:rPr>
        <w:t>revised award amount</w:t>
      </w:r>
      <w:r w:rsidR="00AC2220" w:rsidRPr="00E553F9">
        <w:rPr>
          <w:rFonts w:ascii="Arial" w:hAnsi="Arial" w:cs="Arial"/>
          <w:color w:val="auto"/>
        </w:rPr>
        <w:t xml:space="preserve"> (for example, </w:t>
      </w:r>
      <w:r w:rsidR="000B5022" w:rsidRPr="00E553F9">
        <w:rPr>
          <w:rFonts w:ascii="Arial" w:hAnsi="Arial" w:cs="Arial"/>
          <w:color w:val="auto"/>
        </w:rPr>
        <w:t xml:space="preserve">an </w:t>
      </w:r>
      <w:r w:rsidR="00AC2220" w:rsidRPr="00E553F9">
        <w:rPr>
          <w:rFonts w:ascii="Arial" w:hAnsi="Arial" w:cs="Arial"/>
          <w:color w:val="auto"/>
        </w:rPr>
        <w:t>updated budget</w:t>
      </w:r>
      <w:r w:rsidR="000B5022" w:rsidRPr="00E553F9">
        <w:rPr>
          <w:rFonts w:ascii="Arial" w:hAnsi="Arial" w:cs="Arial"/>
          <w:color w:val="auto"/>
        </w:rPr>
        <w:t xml:space="preserve"> and budget narrative, and an updated statement of work).</w:t>
      </w:r>
    </w:p>
    <w:p w14:paraId="177653B4" w14:textId="77777777" w:rsidR="000C6DCE" w:rsidRDefault="000C6DCE" w:rsidP="00652D27">
      <w:pPr>
        <w:pStyle w:val="Default"/>
        <w:rPr>
          <w:rFonts w:ascii="Arial" w:hAnsi="Arial" w:cs="Arial"/>
          <w:color w:val="auto"/>
        </w:rPr>
      </w:pPr>
    </w:p>
    <w:p w14:paraId="10E857C1" w14:textId="77777777" w:rsidR="000C6DCE" w:rsidRPr="00E553F9" w:rsidRDefault="000C6DCE" w:rsidP="00652D27">
      <w:pPr>
        <w:pStyle w:val="ListParagraph"/>
        <w:numPr>
          <w:ilvl w:val="0"/>
          <w:numId w:val="2"/>
        </w:numPr>
        <w:ind w:left="0"/>
        <w:rPr>
          <w:rFonts w:ascii="Arial" w:hAnsi="Arial" w:cs="Arial"/>
          <w:b/>
          <w:bCs/>
          <w:sz w:val="24"/>
          <w:szCs w:val="24"/>
        </w:rPr>
      </w:pPr>
      <w:r w:rsidRPr="00E553F9">
        <w:rPr>
          <w:rFonts w:ascii="Arial" w:hAnsi="Arial" w:cs="Arial"/>
          <w:b/>
          <w:bCs/>
          <w:sz w:val="24"/>
          <w:szCs w:val="24"/>
        </w:rPr>
        <w:t xml:space="preserve">How will ETA determine funding levels for program year 2024? </w:t>
      </w:r>
    </w:p>
    <w:p w14:paraId="3C7B43A8" w14:textId="77777777" w:rsidR="000C6DCE" w:rsidRPr="00E553F9" w:rsidRDefault="000C6DCE" w:rsidP="00652D27">
      <w:pPr>
        <w:pStyle w:val="ListParagraph"/>
        <w:ind w:left="0"/>
        <w:rPr>
          <w:rFonts w:ascii="Arial" w:hAnsi="Arial" w:cs="Arial"/>
          <w:sz w:val="24"/>
          <w:szCs w:val="24"/>
        </w:rPr>
      </w:pPr>
    </w:p>
    <w:p w14:paraId="5FDF54E1" w14:textId="4865950D" w:rsidR="000C6DCE" w:rsidRPr="00E553F9" w:rsidRDefault="000C6DCE" w:rsidP="00652D27">
      <w:pPr>
        <w:pStyle w:val="Default"/>
        <w:autoSpaceDE/>
        <w:autoSpaceDN/>
        <w:adjustRightInd/>
        <w:rPr>
          <w:rFonts w:ascii="Arial" w:hAnsi="Arial" w:cs="Arial"/>
          <w:color w:val="auto"/>
        </w:rPr>
      </w:pPr>
      <w:r w:rsidRPr="00E553F9">
        <w:rPr>
          <w:rFonts w:ascii="Arial" w:hAnsi="Arial" w:cs="Arial"/>
          <w:color w:val="auto"/>
        </w:rPr>
        <w:t xml:space="preserve">Through this FOA, the Department </w:t>
      </w:r>
      <w:r w:rsidRPr="00E553F9">
        <w:rPr>
          <w:rFonts w:ascii="Arial" w:hAnsi="Arial" w:cs="Arial"/>
        </w:rPr>
        <w:t xml:space="preserve">announced the availability of approximately $90,000,000 in grant funds authorized by the Workforce Innovation and Opportunity Act (WIOA) Section 167 for the National Farmworker Jobs Program, Career Services and Training.  </w:t>
      </w:r>
      <w:r w:rsidRPr="00E553F9" w:rsidDel="00DB6974">
        <w:rPr>
          <w:rFonts w:ascii="Arial" w:hAnsi="Arial" w:cs="Arial"/>
          <w:color w:val="auto"/>
        </w:rPr>
        <w:t>The total funding awarded to each state will be determined by applying the funding formula to the final fiscal year 2024 appropri</w:t>
      </w:r>
      <w:r w:rsidRPr="00E553F9">
        <w:rPr>
          <w:rFonts w:ascii="Arial" w:hAnsi="Arial" w:cs="Arial"/>
          <w:color w:val="auto"/>
        </w:rPr>
        <w:t xml:space="preserve">ation. The formula was developed for the purpose of distributing funds geographically by state on the basis of each state’s relative share of persons eligible for the program.  At the time of FOA publication, the Department had not yet finalized the results of the allotment formula.  In the meantime, as the best proxy for estimating PY 2024 allotments, the FOA links to the program year 2023 allotments for Career Services and Training Grants in </w:t>
      </w:r>
      <w:hyperlink r:id="rId10">
        <w:r w:rsidR="00F14461">
          <w:rPr>
            <w:rStyle w:val="Hyperlink"/>
            <w:rFonts w:ascii="Arial" w:hAnsi="Arial" w:cs="Arial"/>
            <w:color w:val="auto"/>
          </w:rPr>
          <w:t>TEGL No. 17-22</w:t>
        </w:r>
      </w:hyperlink>
      <w:r w:rsidRPr="00E553F9">
        <w:rPr>
          <w:rFonts w:ascii="Arial" w:hAnsi="Arial" w:cs="Arial"/>
          <w:color w:val="auto"/>
        </w:rPr>
        <w:t>.</w:t>
      </w:r>
    </w:p>
    <w:p w14:paraId="15C81535" w14:textId="77777777" w:rsidR="000C6DCE" w:rsidRPr="00E553F9" w:rsidRDefault="000C6DCE" w:rsidP="00652D27">
      <w:pPr>
        <w:pStyle w:val="Default"/>
        <w:rPr>
          <w:rFonts w:ascii="Arial" w:hAnsi="Arial" w:cs="Arial"/>
          <w:color w:val="1F3864" w:themeColor="accent1" w:themeShade="80"/>
        </w:rPr>
      </w:pPr>
    </w:p>
    <w:p w14:paraId="0F626E02" w14:textId="77777777" w:rsidR="00652D27" w:rsidRDefault="00652D27" w:rsidP="00652D27">
      <w:pPr>
        <w:pStyle w:val="ListParagraph"/>
        <w:ind w:left="0"/>
        <w:rPr>
          <w:rFonts w:ascii="Arial" w:hAnsi="Arial" w:cs="Arial"/>
          <w:b/>
          <w:bCs/>
          <w:sz w:val="24"/>
          <w:szCs w:val="24"/>
        </w:rPr>
      </w:pPr>
    </w:p>
    <w:p w14:paraId="3AD582DE" w14:textId="77777777" w:rsidR="00652D27" w:rsidRDefault="00652D27" w:rsidP="00652D27">
      <w:pPr>
        <w:pStyle w:val="ListParagraph"/>
        <w:ind w:left="0"/>
        <w:rPr>
          <w:rFonts w:ascii="Arial" w:hAnsi="Arial" w:cs="Arial"/>
          <w:b/>
          <w:bCs/>
          <w:sz w:val="24"/>
          <w:szCs w:val="24"/>
        </w:rPr>
      </w:pPr>
    </w:p>
    <w:p w14:paraId="23450CD8" w14:textId="77777777" w:rsidR="00652D27" w:rsidRDefault="00652D27" w:rsidP="00652D27">
      <w:pPr>
        <w:pStyle w:val="ListParagraph"/>
        <w:ind w:left="0"/>
        <w:rPr>
          <w:rFonts w:ascii="Arial" w:hAnsi="Arial" w:cs="Arial"/>
          <w:b/>
          <w:bCs/>
          <w:sz w:val="24"/>
          <w:szCs w:val="24"/>
        </w:rPr>
      </w:pPr>
    </w:p>
    <w:p w14:paraId="4CA6D1E0" w14:textId="77777777" w:rsidR="00652D27" w:rsidRDefault="00652D27" w:rsidP="00652D27">
      <w:pPr>
        <w:pStyle w:val="ListParagraph"/>
        <w:ind w:left="0"/>
        <w:rPr>
          <w:rFonts w:ascii="Arial" w:hAnsi="Arial" w:cs="Arial"/>
          <w:b/>
          <w:bCs/>
          <w:sz w:val="24"/>
          <w:szCs w:val="24"/>
        </w:rPr>
      </w:pPr>
    </w:p>
    <w:p w14:paraId="25E9FE58" w14:textId="77777777" w:rsidR="00652D27" w:rsidRPr="00652D27" w:rsidRDefault="00652D27" w:rsidP="00652D27">
      <w:pPr>
        <w:pStyle w:val="ListParagraph"/>
        <w:ind w:left="0"/>
        <w:rPr>
          <w:rFonts w:ascii="Arial" w:hAnsi="Arial" w:cs="Arial"/>
          <w:b/>
          <w:bCs/>
          <w:sz w:val="24"/>
          <w:szCs w:val="24"/>
        </w:rPr>
      </w:pPr>
    </w:p>
    <w:p w14:paraId="37E24116" w14:textId="430E1C5A" w:rsidR="000C6DCE" w:rsidRPr="00E553F9" w:rsidRDefault="000C6DCE" w:rsidP="00652D27">
      <w:pPr>
        <w:pStyle w:val="ListParagraph"/>
        <w:numPr>
          <w:ilvl w:val="0"/>
          <w:numId w:val="2"/>
        </w:numPr>
        <w:ind w:left="0"/>
        <w:rPr>
          <w:rFonts w:ascii="Arial" w:hAnsi="Arial" w:cs="Arial"/>
          <w:b/>
          <w:bCs/>
          <w:sz w:val="24"/>
          <w:szCs w:val="24"/>
        </w:rPr>
      </w:pPr>
      <w:r w:rsidRPr="00E553F9">
        <w:rPr>
          <w:rFonts w:ascii="Arial" w:hAnsi="Arial" w:cs="Arial"/>
          <w:b/>
          <w:bCs/>
          <w:sz w:val="24"/>
          <w:szCs w:val="24"/>
        </w:rPr>
        <w:lastRenderedPageBreak/>
        <w:t>Explain more about Category A (returning) applicants versus Category B (new) applicants.  Are those categories determined state by state?  And, how does an applicant’s category factor in to the Department’s award decisions in a given state?</w:t>
      </w:r>
    </w:p>
    <w:p w14:paraId="7DE7B09F" w14:textId="77777777" w:rsidR="000C6DCE" w:rsidRPr="00E553F9" w:rsidRDefault="000C6DCE" w:rsidP="00652D27">
      <w:pPr>
        <w:pStyle w:val="ListParagraph"/>
        <w:ind w:left="0"/>
        <w:rPr>
          <w:rFonts w:ascii="Arial" w:hAnsi="Arial" w:cs="Arial"/>
          <w:sz w:val="24"/>
          <w:szCs w:val="24"/>
        </w:rPr>
      </w:pPr>
    </w:p>
    <w:p w14:paraId="3C6FB67A" w14:textId="77777777" w:rsidR="000C6DCE" w:rsidRPr="00E553F9" w:rsidRDefault="000C6DCE" w:rsidP="00652D27">
      <w:pPr>
        <w:pStyle w:val="Default"/>
        <w:rPr>
          <w:rFonts w:ascii="Arial" w:hAnsi="Arial" w:cs="Arial"/>
          <w:color w:val="auto"/>
        </w:rPr>
      </w:pPr>
      <w:r w:rsidRPr="00E553F9">
        <w:rPr>
          <w:rFonts w:ascii="Arial" w:hAnsi="Arial" w:cs="Arial"/>
          <w:color w:val="auto"/>
        </w:rPr>
        <w:t xml:space="preserve">In this grant competition, the Department has established two distinct categories to apply for NFJP awards: </w:t>
      </w:r>
    </w:p>
    <w:p w14:paraId="24B843C2" w14:textId="77777777" w:rsidR="000C6DCE" w:rsidRPr="00E553F9" w:rsidRDefault="000C6DCE" w:rsidP="00652D27">
      <w:pPr>
        <w:pStyle w:val="Default"/>
        <w:rPr>
          <w:rFonts w:ascii="Arial" w:hAnsi="Arial" w:cs="Arial"/>
          <w:color w:val="auto"/>
        </w:rPr>
      </w:pPr>
    </w:p>
    <w:p w14:paraId="4C0C305C" w14:textId="77777777" w:rsidR="000C6DCE" w:rsidRPr="00E553F9" w:rsidRDefault="000C6DCE" w:rsidP="00652D27">
      <w:pPr>
        <w:pStyle w:val="Default"/>
        <w:numPr>
          <w:ilvl w:val="0"/>
          <w:numId w:val="12"/>
        </w:numPr>
        <w:ind w:left="360"/>
        <w:rPr>
          <w:rFonts w:ascii="Arial" w:hAnsi="Arial" w:cs="Arial"/>
          <w:color w:val="auto"/>
        </w:rPr>
      </w:pPr>
      <w:r w:rsidRPr="00E553F9">
        <w:rPr>
          <w:rFonts w:ascii="Arial" w:hAnsi="Arial" w:cs="Arial"/>
          <w:color w:val="auto"/>
        </w:rPr>
        <w:t xml:space="preserve">Category A Applicants are applicants that received an NFJP award in the most recent competition cycle (program years 2020-2023).  The FOA does </w:t>
      </w:r>
      <w:r w:rsidRPr="00E553F9">
        <w:rPr>
          <w:rFonts w:ascii="Arial" w:hAnsi="Arial" w:cs="Arial"/>
          <w:color w:val="auto"/>
          <w:u w:val="single"/>
        </w:rPr>
        <w:t>not</w:t>
      </w:r>
      <w:r w:rsidRPr="00E553F9">
        <w:rPr>
          <w:rFonts w:ascii="Arial" w:hAnsi="Arial" w:cs="Arial"/>
          <w:color w:val="auto"/>
        </w:rPr>
        <w:t xml:space="preserve"> specify that this category distinction is based on the state(s) the applicant serves through its PY 2020-2023 grant or the state(s) it is now applying to serve in the PY 2024-2027 grant cycle.  As such, the Department will determine an applicant’s Category A status irrespective of the state(s) it currently serves or the state(s) it proposes to serve.</w:t>
      </w:r>
    </w:p>
    <w:p w14:paraId="0AA80CD2" w14:textId="77777777" w:rsidR="000C6DCE" w:rsidRPr="00E553F9" w:rsidRDefault="000C6DCE" w:rsidP="00652D27">
      <w:pPr>
        <w:pStyle w:val="Default"/>
        <w:ind w:left="360"/>
        <w:rPr>
          <w:rFonts w:ascii="Arial" w:hAnsi="Arial" w:cs="Arial"/>
          <w:color w:val="auto"/>
        </w:rPr>
      </w:pPr>
    </w:p>
    <w:p w14:paraId="6C008E22" w14:textId="77777777" w:rsidR="000C6DCE" w:rsidRPr="00E553F9" w:rsidRDefault="000C6DCE" w:rsidP="00652D27">
      <w:pPr>
        <w:pStyle w:val="Default"/>
        <w:numPr>
          <w:ilvl w:val="0"/>
          <w:numId w:val="12"/>
        </w:numPr>
        <w:ind w:left="360"/>
        <w:rPr>
          <w:rFonts w:ascii="Arial" w:hAnsi="Arial" w:cs="Arial"/>
          <w:color w:val="auto"/>
        </w:rPr>
      </w:pPr>
      <w:r w:rsidRPr="00E553F9">
        <w:rPr>
          <w:rFonts w:ascii="Arial" w:hAnsi="Arial" w:cs="Arial"/>
          <w:color w:val="auto"/>
        </w:rPr>
        <w:t xml:space="preserve">Category B Applicants are other eligible applicants that did not receive an NFJP award in the most recent competition cycle (program years 2020-2023). </w:t>
      </w:r>
    </w:p>
    <w:p w14:paraId="6C5990E1" w14:textId="77777777" w:rsidR="000C6DCE" w:rsidRPr="00E553F9" w:rsidRDefault="000C6DCE" w:rsidP="00652D27">
      <w:pPr>
        <w:pStyle w:val="ListParagraph"/>
        <w:ind w:left="0"/>
        <w:rPr>
          <w:rFonts w:ascii="Arial" w:hAnsi="Arial" w:cs="Arial"/>
          <w:sz w:val="24"/>
          <w:szCs w:val="24"/>
        </w:rPr>
      </w:pPr>
    </w:p>
    <w:p w14:paraId="4318028C" w14:textId="77777777" w:rsidR="000C6DCE" w:rsidRPr="00E553F9" w:rsidRDefault="000C6DCE" w:rsidP="00652D27">
      <w:pPr>
        <w:spacing w:after="0" w:line="240" w:lineRule="auto"/>
        <w:rPr>
          <w:rFonts w:ascii="Arial" w:hAnsi="Arial" w:cs="Arial"/>
          <w:sz w:val="24"/>
          <w:szCs w:val="24"/>
        </w:rPr>
      </w:pPr>
      <w:r w:rsidRPr="00E553F9">
        <w:rPr>
          <w:rFonts w:ascii="Arial" w:hAnsi="Arial" w:cs="Arial"/>
          <w:sz w:val="24"/>
          <w:szCs w:val="24"/>
        </w:rPr>
        <w:t xml:space="preserve">Further, as specified in Section II.A. of the FOA, the Department anticipates it will award </w:t>
      </w:r>
      <w:r w:rsidRPr="00E553F9">
        <w:rPr>
          <w:rFonts w:ascii="Arial" w:hAnsi="Arial" w:cs="Arial"/>
          <w:i/>
          <w:iCs/>
          <w:sz w:val="24"/>
          <w:szCs w:val="24"/>
        </w:rPr>
        <w:t>up to</w:t>
      </w:r>
      <w:r w:rsidRPr="00E553F9">
        <w:rPr>
          <w:rFonts w:ascii="Arial" w:hAnsi="Arial" w:cs="Arial"/>
          <w:sz w:val="24"/>
          <w:szCs w:val="24"/>
        </w:rPr>
        <w:t xml:space="preserve"> 50 percent of the </w:t>
      </w:r>
      <w:r w:rsidRPr="00E553F9">
        <w:rPr>
          <w:rFonts w:ascii="Arial" w:hAnsi="Arial" w:cs="Arial"/>
          <w:i/>
          <w:iCs/>
          <w:sz w:val="24"/>
          <w:szCs w:val="24"/>
        </w:rPr>
        <w:t>total</w:t>
      </w:r>
      <w:r w:rsidRPr="00E553F9">
        <w:rPr>
          <w:rFonts w:ascii="Arial" w:hAnsi="Arial" w:cs="Arial"/>
          <w:sz w:val="24"/>
          <w:szCs w:val="24"/>
        </w:rPr>
        <w:t xml:space="preserve"> available grant competition funding to Category B applicants. Conversely, the Department intends to award </w:t>
      </w:r>
      <w:r w:rsidRPr="00E553F9">
        <w:rPr>
          <w:rFonts w:ascii="Arial" w:hAnsi="Arial" w:cs="Arial"/>
          <w:i/>
          <w:iCs/>
          <w:sz w:val="24"/>
          <w:szCs w:val="24"/>
        </w:rPr>
        <w:t>at least</w:t>
      </w:r>
      <w:r w:rsidRPr="00E553F9">
        <w:rPr>
          <w:rFonts w:ascii="Arial" w:hAnsi="Arial" w:cs="Arial"/>
          <w:sz w:val="24"/>
          <w:szCs w:val="24"/>
        </w:rPr>
        <w:t xml:space="preserve"> 50 percent of the </w:t>
      </w:r>
      <w:r w:rsidRPr="00E553F9">
        <w:rPr>
          <w:rFonts w:ascii="Arial" w:hAnsi="Arial" w:cs="Arial"/>
          <w:i/>
          <w:iCs/>
          <w:sz w:val="24"/>
          <w:szCs w:val="24"/>
        </w:rPr>
        <w:t>total</w:t>
      </w:r>
      <w:r w:rsidRPr="00E553F9">
        <w:rPr>
          <w:rFonts w:ascii="Arial" w:hAnsi="Arial" w:cs="Arial"/>
          <w:sz w:val="24"/>
          <w:szCs w:val="24"/>
        </w:rPr>
        <w:t xml:space="preserve"> available grant competition funding to Category A applicants.  With this mix of grant recipients, DOL intends to give organizations with experience delivering employment and training services but with little or no experience with a DOL NFJP grant an opportunity to implement such a program, while also allowing opportunities for previously funded NFJP grantees with a record of success to continue to deliver services.</w:t>
      </w:r>
    </w:p>
    <w:p w14:paraId="0B26839D" w14:textId="77777777" w:rsidR="000C6DCE" w:rsidRPr="00E553F9" w:rsidRDefault="000C6DCE" w:rsidP="00652D27">
      <w:pPr>
        <w:spacing w:after="0" w:line="240" w:lineRule="auto"/>
        <w:rPr>
          <w:rFonts w:ascii="Arial" w:hAnsi="Arial" w:cs="Arial"/>
          <w:sz w:val="24"/>
          <w:szCs w:val="24"/>
        </w:rPr>
      </w:pPr>
      <w:r w:rsidRPr="00E553F9">
        <w:rPr>
          <w:rFonts w:ascii="Arial" w:hAnsi="Arial" w:cs="Arial"/>
          <w:sz w:val="24"/>
          <w:szCs w:val="24"/>
        </w:rPr>
        <w:t>As noted above in this FAQ document, the Department’s decisions regarding which applicant(s) to award in a given state will depend on the applications it receives, the final scores of those applications as determined through the review and selection process, and other relevant factors when applicable.  Section V.B.1. of the FOA specifies that such factors may include the geographic distribution of funds; category of applicant; target population such as adult participants, youth participants, or both adult and youth participants; available funding; proposed service area; coverage for Significant Migrant and Seasonal Farmworker States; selected sector(s); and other relevant factors.</w:t>
      </w:r>
    </w:p>
    <w:p w14:paraId="13391BB3" w14:textId="77777777" w:rsidR="000C6DCE" w:rsidRPr="00E553F9" w:rsidRDefault="000C6DCE" w:rsidP="00652D27">
      <w:pPr>
        <w:pStyle w:val="Default"/>
        <w:rPr>
          <w:rFonts w:ascii="Arial" w:hAnsi="Arial" w:cs="Arial"/>
          <w:color w:val="auto"/>
        </w:rPr>
      </w:pPr>
    </w:p>
    <w:p w14:paraId="0F421C07" w14:textId="77777777" w:rsidR="008858FC" w:rsidRDefault="008858FC" w:rsidP="00652D27">
      <w:pPr>
        <w:pStyle w:val="Default"/>
        <w:rPr>
          <w:rFonts w:ascii="Arial" w:hAnsi="Arial" w:cs="Arial"/>
          <w:color w:val="auto"/>
        </w:rPr>
      </w:pPr>
    </w:p>
    <w:p w14:paraId="6043F1CC" w14:textId="6429A5DD" w:rsidR="000C6DCE" w:rsidRPr="000C6DCE" w:rsidRDefault="000C6DCE" w:rsidP="00652D27">
      <w:pPr>
        <w:pStyle w:val="Default"/>
        <w:shd w:val="clear" w:color="auto" w:fill="BFBFBF" w:themeFill="background1" w:themeFillShade="BF"/>
        <w:rPr>
          <w:rFonts w:ascii="Arial" w:hAnsi="Arial" w:cs="Arial"/>
          <w:b/>
          <w:bCs/>
          <w:color w:val="auto"/>
        </w:rPr>
      </w:pPr>
      <w:r>
        <w:rPr>
          <w:rFonts w:ascii="Arial" w:hAnsi="Arial" w:cs="Arial"/>
          <w:b/>
          <w:bCs/>
          <w:color w:val="auto"/>
        </w:rPr>
        <w:t>ELIGIBLE APPLICANTS</w:t>
      </w:r>
    </w:p>
    <w:p w14:paraId="5070B03F" w14:textId="77777777" w:rsidR="000C6DCE" w:rsidRDefault="000C6DCE" w:rsidP="00652D27">
      <w:pPr>
        <w:pStyle w:val="Default"/>
        <w:rPr>
          <w:rFonts w:ascii="Arial" w:hAnsi="Arial" w:cs="Arial"/>
          <w:b/>
          <w:bCs/>
          <w:color w:val="auto"/>
        </w:rPr>
      </w:pPr>
    </w:p>
    <w:p w14:paraId="05FEBDC5" w14:textId="77777777" w:rsidR="00F14461" w:rsidRPr="00E553F9" w:rsidRDefault="00F14461" w:rsidP="00652D27">
      <w:pPr>
        <w:pStyle w:val="ListParagraph"/>
        <w:numPr>
          <w:ilvl w:val="0"/>
          <w:numId w:val="2"/>
        </w:numPr>
        <w:ind w:left="0"/>
        <w:rPr>
          <w:rFonts w:ascii="Arial" w:hAnsi="Arial" w:cs="Arial"/>
          <w:b/>
          <w:bCs/>
          <w:sz w:val="24"/>
          <w:szCs w:val="24"/>
        </w:rPr>
      </w:pPr>
      <w:r w:rsidRPr="00E553F9">
        <w:rPr>
          <w:rFonts w:ascii="Arial" w:hAnsi="Arial" w:cs="Arial"/>
          <w:b/>
          <w:bCs/>
          <w:sz w:val="24"/>
          <w:szCs w:val="24"/>
        </w:rPr>
        <w:t xml:space="preserve">Who is eligible to apply for an NFJP grant? </w:t>
      </w:r>
    </w:p>
    <w:p w14:paraId="18C2F035" w14:textId="77777777" w:rsidR="00F14461" w:rsidRPr="00E553F9" w:rsidRDefault="00F14461" w:rsidP="00652D27">
      <w:pPr>
        <w:pStyle w:val="ListParagraph"/>
        <w:ind w:left="0"/>
        <w:rPr>
          <w:rFonts w:ascii="Arial" w:hAnsi="Arial" w:cs="Arial"/>
          <w:sz w:val="24"/>
          <w:szCs w:val="24"/>
        </w:rPr>
      </w:pPr>
    </w:p>
    <w:p w14:paraId="0985D93B" w14:textId="77777777" w:rsidR="00F14461" w:rsidRPr="00E553F9" w:rsidRDefault="00F14461" w:rsidP="00652D27">
      <w:pPr>
        <w:spacing w:after="0" w:line="240" w:lineRule="auto"/>
        <w:rPr>
          <w:rFonts w:ascii="Arial" w:hAnsi="Arial" w:cs="Arial"/>
          <w:sz w:val="24"/>
          <w:szCs w:val="24"/>
        </w:rPr>
      </w:pPr>
      <w:r w:rsidRPr="00E553F9">
        <w:rPr>
          <w:rFonts w:ascii="Arial" w:hAnsi="Arial" w:cs="Arial"/>
          <w:sz w:val="24"/>
          <w:szCs w:val="24"/>
        </w:rPr>
        <w:t xml:space="preserve">Section 167(b) of WIOA and 20 CFR 685.200 specify that to be eligible to receive an NFJP grant, an entity must have: 1) an understanding of the problems of eligible migrant and seasonal farmworkers, including their dependents; 2) a familiarity with the </w:t>
      </w:r>
      <w:r w:rsidRPr="00E553F9">
        <w:rPr>
          <w:rFonts w:ascii="Arial" w:hAnsi="Arial" w:cs="Arial"/>
          <w:sz w:val="24"/>
          <w:szCs w:val="24"/>
        </w:rPr>
        <w:lastRenderedPageBreak/>
        <w:t xml:space="preserve">agricultural industries and the labor market needs of the proposed service area; and 3) the ability to demonstrate a capacity to administer and deliver effectively a diversified program of workforce investment activities, including youth workforce investment activities, and related assistance for eligible migrant and seasonal farmworkers. Organizations that meet these three criteria are eligible to apply, and the Project Narrative section of this funding opportunity announcement is designed to elicit information from applicants to demonstrate these criteria.  Neither the statute, the regulations, nor the FOA further specify or limit the </w:t>
      </w:r>
      <w:r w:rsidRPr="00E553F9">
        <w:rPr>
          <w:rFonts w:ascii="Arial" w:hAnsi="Arial" w:cs="Arial"/>
          <w:i/>
          <w:sz w:val="24"/>
          <w:szCs w:val="24"/>
        </w:rPr>
        <w:t>types</w:t>
      </w:r>
      <w:r w:rsidRPr="00E553F9">
        <w:rPr>
          <w:rFonts w:ascii="Arial" w:hAnsi="Arial" w:cs="Arial"/>
          <w:sz w:val="24"/>
          <w:szCs w:val="24"/>
        </w:rPr>
        <w:t xml:space="preserve"> of organizations (e.g., non-profits, local government agencies, state agencies, etc.) that are eligible.  As stated in Section III.A. of the FOA, the Department encourages education and training providers, advocacy organizations, labor or worker organizations, industry representatives, and organizations that provide services to farmworkers and other populations facing multiple barriers to employment to consider applying for this Announcement. </w:t>
      </w:r>
    </w:p>
    <w:p w14:paraId="668FEF41" w14:textId="77777777" w:rsidR="00652D27" w:rsidRDefault="00652D27" w:rsidP="00652D27">
      <w:pPr>
        <w:pStyle w:val="Default"/>
        <w:rPr>
          <w:rFonts w:ascii="Arial" w:hAnsi="Arial" w:cs="Arial"/>
          <w:b/>
          <w:bCs/>
          <w:color w:val="auto"/>
        </w:rPr>
      </w:pPr>
    </w:p>
    <w:p w14:paraId="1F794EFB" w14:textId="4554F035" w:rsidR="00DA1EAB" w:rsidRPr="00E553F9" w:rsidRDefault="00DA1EAB" w:rsidP="00652D27">
      <w:pPr>
        <w:pStyle w:val="Default"/>
        <w:numPr>
          <w:ilvl w:val="0"/>
          <w:numId w:val="2"/>
        </w:numPr>
        <w:ind w:left="0"/>
        <w:rPr>
          <w:rFonts w:ascii="Arial" w:hAnsi="Arial" w:cs="Arial"/>
          <w:b/>
          <w:bCs/>
          <w:color w:val="auto"/>
        </w:rPr>
      </w:pPr>
      <w:r w:rsidRPr="00E553F9">
        <w:rPr>
          <w:rFonts w:ascii="Arial" w:hAnsi="Arial" w:cs="Arial"/>
          <w:b/>
          <w:bCs/>
          <w:color w:val="auto"/>
        </w:rPr>
        <w:t>Is the Department solicitating grant application for all states?</w:t>
      </w:r>
    </w:p>
    <w:p w14:paraId="730627A6" w14:textId="77777777" w:rsidR="00DA1EAB" w:rsidRPr="00E553F9" w:rsidRDefault="00DA1EAB" w:rsidP="00652D27">
      <w:pPr>
        <w:pStyle w:val="Default"/>
        <w:rPr>
          <w:rFonts w:ascii="Arial" w:hAnsi="Arial" w:cs="Arial"/>
          <w:color w:val="auto"/>
        </w:rPr>
      </w:pPr>
    </w:p>
    <w:p w14:paraId="0DB827B7" w14:textId="632FA7D9" w:rsidR="00DA1EAB" w:rsidRPr="00E553F9" w:rsidRDefault="006A7EAA" w:rsidP="00652D27">
      <w:pPr>
        <w:pStyle w:val="Default"/>
        <w:rPr>
          <w:rFonts w:ascii="Arial" w:hAnsi="Arial" w:cs="Arial"/>
          <w:color w:val="auto"/>
        </w:rPr>
      </w:pPr>
      <w:r w:rsidRPr="00E553F9">
        <w:rPr>
          <w:rFonts w:ascii="Arial" w:hAnsi="Arial" w:cs="Arial"/>
          <w:color w:val="auto"/>
        </w:rPr>
        <w:t xml:space="preserve">With the exception of Alaska and </w:t>
      </w:r>
      <w:r w:rsidR="17568963" w:rsidRPr="00E553F9">
        <w:rPr>
          <w:rFonts w:ascii="Arial" w:hAnsi="Arial" w:cs="Arial"/>
          <w:color w:val="auto"/>
        </w:rPr>
        <w:t xml:space="preserve">the </w:t>
      </w:r>
      <w:r w:rsidRPr="00E553F9">
        <w:rPr>
          <w:rFonts w:ascii="Arial" w:hAnsi="Arial" w:cs="Arial"/>
          <w:color w:val="auto"/>
        </w:rPr>
        <w:t xml:space="preserve">District of Columbia, the Department is soliciting Career Services and Training grant applications for all states and Puerto Rico. </w:t>
      </w:r>
    </w:p>
    <w:p w14:paraId="58D2F19C" w14:textId="77777777" w:rsidR="000E26B2" w:rsidRPr="00E553F9" w:rsidRDefault="000E26B2" w:rsidP="00652D27">
      <w:pPr>
        <w:pStyle w:val="Default"/>
        <w:rPr>
          <w:rFonts w:ascii="Arial" w:hAnsi="Arial" w:cs="Arial"/>
          <w:color w:val="auto"/>
        </w:rPr>
      </w:pPr>
    </w:p>
    <w:p w14:paraId="6A96EE48" w14:textId="77777777" w:rsidR="00DA1EAB" w:rsidRPr="00E553F9" w:rsidRDefault="00DA1EAB" w:rsidP="00652D27">
      <w:pPr>
        <w:pStyle w:val="Default"/>
        <w:numPr>
          <w:ilvl w:val="0"/>
          <w:numId w:val="2"/>
        </w:numPr>
        <w:ind w:left="0"/>
        <w:rPr>
          <w:rFonts w:ascii="Arial" w:hAnsi="Arial" w:cs="Arial"/>
          <w:b/>
          <w:bCs/>
          <w:color w:val="auto"/>
        </w:rPr>
      </w:pPr>
      <w:r w:rsidRPr="00E553F9">
        <w:rPr>
          <w:rFonts w:ascii="Arial" w:hAnsi="Arial" w:cs="Arial"/>
          <w:b/>
          <w:bCs/>
          <w:color w:val="auto"/>
        </w:rPr>
        <w:t>Will the Department accept applications for combined states?</w:t>
      </w:r>
    </w:p>
    <w:p w14:paraId="3B34BC0C" w14:textId="77777777" w:rsidR="000E26B2" w:rsidRPr="00E553F9" w:rsidRDefault="000E26B2" w:rsidP="00652D27">
      <w:pPr>
        <w:pStyle w:val="Default"/>
        <w:rPr>
          <w:rFonts w:ascii="Arial" w:hAnsi="Arial" w:cs="Arial"/>
          <w:color w:val="auto"/>
        </w:rPr>
      </w:pPr>
    </w:p>
    <w:p w14:paraId="3BEC044A" w14:textId="137DD3D7" w:rsidR="006A7EAA" w:rsidRPr="00E553F9" w:rsidRDefault="006A7EAA" w:rsidP="00652D27">
      <w:pPr>
        <w:pStyle w:val="Default"/>
        <w:rPr>
          <w:rFonts w:ascii="Arial" w:hAnsi="Arial" w:cs="Arial"/>
          <w:color w:val="auto"/>
        </w:rPr>
      </w:pPr>
      <w:r w:rsidRPr="00E553F9">
        <w:rPr>
          <w:rFonts w:ascii="Arial" w:hAnsi="Arial" w:cs="Arial"/>
          <w:color w:val="auto"/>
        </w:rPr>
        <w:t xml:space="preserve">Unlike previous competition years, applicants may not submit applications for combined states (for example, </w:t>
      </w:r>
      <w:r w:rsidR="1D754270" w:rsidRPr="00E553F9">
        <w:rPr>
          <w:rFonts w:ascii="Arial" w:hAnsi="Arial" w:cs="Arial"/>
          <w:color w:val="auto"/>
        </w:rPr>
        <w:t xml:space="preserve">one application for </w:t>
      </w:r>
      <w:r w:rsidRPr="00E553F9">
        <w:rPr>
          <w:rFonts w:ascii="Arial" w:hAnsi="Arial" w:cs="Arial"/>
          <w:color w:val="auto"/>
        </w:rPr>
        <w:t xml:space="preserve">Virginia and West Virginia, Delaware and Maryland, </w:t>
      </w:r>
      <w:r w:rsidR="1285CB75" w:rsidRPr="00E553F9">
        <w:rPr>
          <w:rFonts w:ascii="Arial" w:hAnsi="Arial" w:cs="Arial"/>
          <w:color w:val="auto"/>
        </w:rPr>
        <w:t>or</w:t>
      </w:r>
      <w:r w:rsidRPr="00E553F9">
        <w:rPr>
          <w:rFonts w:ascii="Arial" w:hAnsi="Arial" w:cs="Arial"/>
          <w:color w:val="auto"/>
        </w:rPr>
        <w:t xml:space="preserve"> Connecticut and Rhode Island</w:t>
      </w:r>
      <w:r w:rsidR="5CAFDB9E" w:rsidRPr="00E553F9">
        <w:rPr>
          <w:rFonts w:ascii="Arial" w:hAnsi="Arial" w:cs="Arial"/>
          <w:color w:val="auto"/>
        </w:rPr>
        <w:t xml:space="preserve"> combined</w:t>
      </w:r>
      <w:r w:rsidRPr="00E553F9">
        <w:rPr>
          <w:rFonts w:ascii="Arial" w:hAnsi="Arial" w:cs="Arial"/>
          <w:color w:val="auto"/>
        </w:rPr>
        <w:t>). Applicants must submit a distinct application for each proposed state.</w:t>
      </w:r>
    </w:p>
    <w:p w14:paraId="27E3825E" w14:textId="77777777" w:rsidR="00324121" w:rsidRDefault="00324121" w:rsidP="00652D27">
      <w:pPr>
        <w:spacing w:after="0" w:line="240" w:lineRule="auto"/>
        <w:rPr>
          <w:rFonts w:ascii="Arial" w:hAnsi="Arial" w:cs="Arial"/>
          <w:sz w:val="24"/>
          <w:szCs w:val="24"/>
        </w:rPr>
      </w:pPr>
    </w:p>
    <w:p w14:paraId="61657BEA" w14:textId="06B8BEDD" w:rsidR="00F14461" w:rsidRPr="00F14461" w:rsidRDefault="00F14461" w:rsidP="00652D27">
      <w:pPr>
        <w:shd w:val="clear" w:color="auto" w:fill="BFBFBF" w:themeFill="background1" w:themeFillShade="BF"/>
        <w:spacing w:after="0" w:line="240" w:lineRule="auto"/>
        <w:rPr>
          <w:rFonts w:ascii="Arial" w:hAnsi="Arial" w:cs="Arial"/>
          <w:b/>
          <w:bCs/>
          <w:sz w:val="24"/>
          <w:szCs w:val="24"/>
        </w:rPr>
      </w:pPr>
      <w:r w:rsidRPr="00F14461">
        <w:rPr>
          <w:rFonts w:ascii="Arial" w:hAnsi="Arial" w:cs="Arial"/>
          <w:b/>
          <w:bCs/>
          <w:sz w:val="24"/>
          <w:szCs w:val="24"/>
        </w:rPr>
        <w:t>MISCELLANEOUS</w:t>
      </w:r>
    </w:p>
    <w:p w14:paraId="0CADFD75" w14:textId="77777777" w:rsidR="002126AB" w:rsidRPr="00E553F9" w:rsidRDefault="002126AB" w:rsidP="00652D27">
      <w:pPr>
        <w:pStyle w:val="ListParagraph"/>
        <w:ind w:left="0"/>
        <w:rPr>
          <w:rFonts w:ascii="Arial" w:hAnsi="Arial" w:cs="Arial"/>
          <w:sz w:val="24"/>
          <w:szCs w:val="24"/>
        </w:rPr>
      </w:pPr>
      <w:bookmarkStart w:id="0" w:name="B._REVIEW_AND_SELECTION_PROCESS"/>
      <w:bookmarkEnd w:id="0"/>
    </w:p>
    <w:p w14:paraId="02526356" w14:textId="64DA8968" w:rsidR="0044769F" w:rsidRPr="00E553F9" w:rsidRDefault="00B46230" w:rsidP="00652D27">
      <w:pPr>
        <w:pStyle w:val="Default"/>
        <w:numPr>
          <w:ilvl w:val="0"/>
          <w:numId w:val="2"/>
        </w:numPr>
        <w:ind w:left="0"/>
        <w:rPr>
          <w:rFonts w:ascii="Arial" w:hAnsi="Arial" w:cs="Arial"/>
          <w:b/>
          <w:bCs/>
          <w:color w:val="auto"/>
        </w:rPr>
      </w:pPr>
      <w:r w:rsidRPr="00E553F9">
        <w:rPr>
          <w:rFonts w:ascii="Arial" w:hAnsi="Arial" w:cs="Arial"/>
          <w:b/>
          <w:bCs/>
          <w:color w:val="auto"/>
        </w:rPr>
        <w:t>Are applicants required to select a</w:t>
      </w:r>
      <w:r w:rsidR="00DB5CEE" w:rsidRPr="00E553F9">
        <w:rPr>
          <w:rFonts w:ascii="Arial" w:hAnsi="Arial" w:cs="Arial"/>
          <w:b/>
          <w:bCs/>
          <w:color w:val="auto"/>
        </w:rPr>
        <w:t xml:space="preserve">griculture as </w:t>
      </w:r>
      <w:r w:rsidRPr="00E553F9">
        <w:rPr>
          <w:rFonts w:ascii="Arial" w:hAnsi="Arial" w:cs="Arial"/>
          <w:b/>
          <w:bCs/>
          <w:color w:val="auto"/>
        </w:rPr>
        <w:t xml:space="preserve">one of </w:t>
      </w:r>
      <w:r w:rsidR="0044769F" w:rsidRPr="00E553F9">
        <w:rPr>
          <w:rFonts w:ascii="Arial" w:hAnsi="Arial" w:cs="Arial"/>
          <w:b/>
          <w:bCs/>
          <w:color w:val="auto"/>
        </w:rPr>
        <w:t>the 1-3 selected sector(s) (industry or clusters of occupations)</w:t>
      </w:r>
      <w:r w:rsidR="001F7372" w:rsidRPr="00E553F9">
        <w:rPr>
          <w:rFonts w:ascii="Arial" w:hAnsi="Arial" w:cs="Arial"/>
          <w:b/>
          <w:bCs/>
          <w:color w:val="auto"/>
        </w:rPr>
        <w:t xml:space="preserve"> on which to focus their NFJP Career Services and Training project</w:t>
      </w:r>
      <w:r w:rsidR="0044769F" w:rsidRPr="00E553F9">
        <w:rPr>
          <w:rFonts w:ascii="Arial" w:hAnsi="Arial" w:cs="Arial"/>
          <w:b/>
          <w:bCs/>
          <w:color w:val="auto"/>
        </w:rPr>
        <w:t xml:space="preserve">? </w:t>
      </w:r>
    </w:p>
    <w:p w14:paraId="1EFF2DE6" w14:textId="467697E0" w:rsidR="00B46230" w:rsidRPr="00E553F9" w:rsidRDefault="00B46230" w:rsidP="00652D27">
      <w:pPr>
        <w:pStyle w:val="ListParagraph"/>
        <w:ind w:left="0"/>
        <w:rPr>
          <w:rFonts w:ascii="Arial" w:hAnsi="Arial" w:cs="Arial"/>
          <w:sz w:val="24"/>
          <w:szCs w:val="24"/>
          <w:highlight w:val="yellow"/>
        </w:rPr>
      </w:pPr>
    </w:p>
    <w:p w14:paraId="3AE40FD6" w14:textId="3EE2CE33" w:rsidR="00AE3965" w:rsidRPr="00E553F9" w:rsidRDefault="002343DE" w:rsidP="00652D27">
      <w:pPr>
        <w:spacing w:after="0" w:line="240" w:lineRule="auto"/>
        <w:rPr>
          <w:rFonts w:ascii="Arial" w:hAnsi="Arial" w:cs="Arial"/>
          <w:sz w:val="24"/>
          <w:szCs w:val="24"/>
        </w:rPr>
      </w:pPr>
      <w:r w:rsidRPr="00E553F9">
        <w:rPr>
          <w:rFonts w:ascii="Arial" w:hAnsi="Arial" w:cs="Arial"/>
          <w:sz w:val="24"/>
          <w:szCs w:val="24"/>
        </w:rPr>
        <w:t>As specified in Section IV.B.3.</w:t>
      </w:r>
      <w:r w:rsidR="00D93139" w:rsidRPr="00E553F9">
        <w:rPr>
          <w:rFonts w:ascii="Arial" w:hAnsi="Arial" w:cs="Arial"/>
          <w:sz w:val="24"/>
          <w:szCs w:val="24"/>
        </w:rPr>
        <w:t>b.</w:t>
      </w:r>
      <w:r w:rsidR="005450C3" w:rsidRPr="00E553F9">
        <w:rPr>
          <w:rFonts w:ascii="Arial" w:hAnsi="Arial" w:cs="Arial"/>
          <w:sz w:val="24"/>
          <w:szCs w:val="24"/>
        </w:rPr>
        <w:t>ii.,</w:t>
      </w:r>
      <w:r w:rsidRPr="00E553F9">
        <w:rPr>
          <w:rFonts w:ascii="Arial" w:hAnsi="Arial" w:cs="Arial"/>
          <w:sz w:val="24"/>
          <w:szCs w:val="24"/>
        </w:rPr>
        <w:t xml:space="preserve"> </w:t>
      </w:r>
      <w:r w:rsidR="00004B37" w:rsidRPr="00E553F9">
        <w:rPr>
          <w:rFonts w:ascii="Arial" w:hAnsi="Arial" w:cs="Arial"/>
          <w:sz w:val="24"/>
          <w:szCs w:val="24"/>
        </w:rPr>
        <w:t>a</w:t>
      </w:r>
      <w:r w:rsidR="00B46230" w:rsidRPr="00E553F9">
        <w:rPr>
          <w:rFonts w:ascii="Arial" w:hAnsi="Arial" w:cs="Arial"/>
          <w:sz w:val="24"/>
          <w:szCs w:val="24"/>
        </w:rPr>
        <w:t xml:space="preserve">pplicants are not required to select agriculture as one of the </w:t>
      </w:r>
      <w:r w:rsidR="00004B37" w:rsidRPr="00E553F9">
        <w:rPr>
          <w:rFonts w:ascii="Arial" w:hAnsi="Arial" w:cs="Arial"/>
          <w:sz w:val="24"/>
          <w:szCs w:val="24"/>
        </w:rPr>
        <w:t xml:space="preserve">1-3 </w:t>
      </w:r>
      <w:r w:rsidR="00B46230" w:rsidRPr="00E553F9">
        <w:rPr>
          <w:rFonts w:ascii="Arial" w:hAnsi="Arial" w:cs="Arial"/>
          <w:sz w:val="24"/>
          <w:szCs w:val="24"/>
        </w:rPr>
        <w:t>sectors</w:t>
      </w:r>
      <w:r w:rsidR="00004B37" w:rsidRPr="00E553F9">
        <w:rPr>
          <w:rFonts w:ascii="Arial" w:hAnsi="Arial" w:cs="Arial"/>
          <w:sz w:val="24"/>
          <w:szCs w:val="24"/>
        </w:rPr>
        <w:t xml:space="preserve"> on which to focus their proposed project</w:t>
      </w:r>
      <w:r w:rsidR="00B53952" w:rsidRPr="00E553F9">
        <w:rPr>
          <w:rFonts w:ascii="Arial" w:hAnsi="Arial" w:cs="Arial"/>
          <w:sz w:val="24"/>
          <w:szCs w:val="24"/>
        </w:rPr>
        <w:t xml:space="preserve">, and the FOA scoring criteria do not assign specific points for </w:t>
      </w:r>
      <w:r w:rsidR="00243227" w:rsidRPr="00E553F9">
        <w:rPr>
          <w:rFonts w:ascii="Arial" w:hAnsi="Arial" w:cs="Arial"/>
          <w:sz w:val="24"/>
          <w:szCs w:val="24"/>
        </w:rPr>
        <w:t>applications targeting the agricultural sector.</w:t>
      </w:r>
    </w:p>
    <w:p w14:paraId="5C139339" w14:textId="3ADA6DD3" w:rsidR="00B46230" w:rsidRPr="00E553F9" w:rsidRDefault="00AE3965" w:rsidP="00652D27">
      <w:pPr>
        <w:spacing w:after="0" w:line="240" w:lineRule="auto"/>
        <w:rPr>
          <w:rFonts w:ascii="Arial" w:hAnsi="Arial" w:cs="Arial"/>
          <w:sz w:val="24"/>
          <w:szCs w:val="24"/>
        </w:rPr>
      </w:pPr>
      <w:r w:rsidRPr="00E553F9">
        <w:rPr>
          <w:rFonts w:ascii="Arial" w:hAnsi="Arial" w:cs="Arial"/>
          <w:sz w:val="24"/>
          <w:szCs w:val="24"/>
        </w:rPr>
        <w:t>T</w:t>
      </w:r>
      <w:r w:rsidR="009A63EE" w:rsidRPr="00E553F9">
        <w:rPr>
          <w:rFonts w:ascii="Arial" w:hAnsi="Arial" w:cs="Arial"/>
          <w:sz w:val="24"/>
          <w:szCs w:val="24"/>
        </w:rPr>
        <w:t xml:space="preserve">he NFJP regulations at 20 CFR 685.100 </w:t>
      </w:r>
      <w:r w:rsidR="00B13658" w:rsidRPr="00E553F9">
        <w:rPr>
          <w:rFonts w:ascii="Arial" w:hAnsi="Arial" w:cs="Arial"/>
          <w:sz w:val="24"/>
          <w:szCs w:val="24"/>
        </w:rPr>
        <w:t xml:space="preserve">specify that </w:t>
      </w:r>
      <w:r w:rsidR="00301B1F" w:rsidRPr="00E553F9">
        <w:rPr>
          <w:rFonts w:ascii="Arial" w:hAnsi="Arial" w:cs="Arial"/>
          <w:sz w:val="24"/>
          <w:szCs w:val="24"/>
        </w:rPr>
        <w:t>“T</w:t>
      </w:r>
      <w:r w:rsidR="00B13658" w:rsidRPr="00E553F9">
        <w:rPr>
          <w:rFonts w:ascii="Arial" w:hAnsi="Arial" w:cs="Arial"/>
          <w:sz w:val="24"/>
          <w:szCs w:val="24"/>
        </w:rPr>
        <w:t>he purpose of the NFJP</w:t>
      </w:r>
      <w:r w:rsidR="00301B1F" w:rsidRPr="00E553F9">
        <w:rPr>
          <w:rFonts w:ascii="Arial" w:hAnsi="Arial" w:cs="Arial"/>
          <w:sz w:val="24"/>
          <w:szCs w:val="24"/>
        </w:rPr>
        <w:t>…</w:t>
      </w:r>
      <w:r w:rsidR="00B13658" w:rsidRPr="00E553F9">
        <w:rPr>
          <w:rFonts w:ascii="Arial" w:hAnsi="Arial" w:cs="Arial"/>
          <w:sz w:val="24"/>
          <w:szCs w:val="24"/>
        </w:rPr>
        <w:t xml:space="preserve">is to strengthen the ability of eligible migrant and seasonal farmworkers (MSFWs) and their dependents to obtain or retain unsubsidized employment, stabilize their unsubsidized employment and achieve economic self-sufficiency, </w:t>
      </w:r>
      <w:r w:rsidR="00B13658" w:rsidRPr="00E553F9">
        <w:rPr>
          <w:rFonts w:ascii="Arial" w:hAnsi="Arial" w:cs="Arial"/>
          <w:i/>
          <w:iCs/>
          <w:sz w:val="24"/>
          <w:szCs w:val="24"/>
        </w:rPr>
        <w:t>including upgraded employment in agriculture</w:t>
      </w:r>
      <w:r w:rsidR="00F01BB7" w:rsidRPr="00E553F9">
        <w:rPr>
          <w:rFonts w:ascii="Arial" w:hAnsi="Arial" w:cs="Arial"/>
          <w:sz w:val="24"/>
          <w:szCs w:val="24"/>
        </w:rPr>
        <w:t>.</w:t>
      </w:r>
      <w:r w:rsidR="009C44EA" w:rsidRPr="00E553F9">
        <w:rPr>
          <w:rFonts w:ascii="Arial" w:hAnsi="Arial" w:cs="Arial"/>
          <w:sz w:val="24"/>
          <w:szCs w:val="24"/>
        </w:rPr>
        <w:t xml:space="preserve">” (emphasis added).  </w:t>
      </w:r>
      <w:r w:rsidR="001D2490" w:rsidRPr="00E553F9">
        <w:rPr>
          <w:rFonts w:ascii="Arial" w:hAnsi="Arial" w:cs="Arial"/>
          <w:sz w:val="24"/>
          <w:szCs w:val="24"/>
        </w:rPr>
        <w:t xml:space="preserve">Consistent with </w:t>
      </w:r>
      <w:r w:rsidR="002933C7" w:rsidRPr="00E553F9">
        <w:rPr>
          <w:rFonts w:ascii="Arial" w:hAnsi="Arial" w:cs="Arial"/>
          <w:sz w:val="24"/>
          <w:szCs w:val="24"/>
        </w:rPr>
        <w:t xml:space="preserve">the program’s purpose, the Department is </w:t>
      </w:r>
      <w:r w:rsidR="00B46230" w:rsidRPr="00E553F9">
        <w:rPr>
          <w:rFonts w:ascii="Arial" w:hAnsi="Arial" w:cs="Arial"/>
          <w:sz w:val="24"/>
          <w:szCs w:val="24"/>
        </w:rPr>
        <w:t>encourag</w:t>
      </w:r>
      <w:r w:rsidR="002933C7" w:rsidRPr="00E553F9">
        <w:rPr>
          <w:rFonts w:ascii="Arial" w:hAnsi="Arial" w:cs="Arial"/>
          <w:sz w:val="24"/>
          <w:szCs w:val="24"/>
        </w:rPr>
        <w:t>ing</w:t>
      </w:r>
      <w:r w:rsidR="00B46230" w:rsidRPr="00E553F9">
        <w:rPr>
          <w:rFonts w:ascii="Arial" w:hAnsi="Arial" w:cs="Arial"/>
          <w:sz w:val="24"/>
          <w:szCs w:val="24"/>
        </w:rPr>
        <w:t xml:space="preserve"> applicants to submit a proposed project design that either focuses only on the agriculture sector or includes the agriculture sector as a part of the one to three sectors for their proposed project design</w:t>
      </w:r>
      <w:r w:rsidR="00E31C42" w:rsidRPr="00E553F9">
        <w:rPr>
          <w:rFonts w:ascii="Arial" w:hAnsi="Arial" w:cs="Arial"/>
          <w:sz w:val="24"/>
          <w:szCs w:val="24"/>
        </w:rPr>
        <w:t>, especially given the agriculture sector’s workforce challenges as well as its pivotal role in the nation’s food security and economy.</w:t>
      </w:r>
      <w:r w:rsidR="006C2AED" w:rsidRPr="00E553F9">
        <w:rPr>
          <w:rFonts w:ascii="Arial" w:hAnsi="Arial" w:cs="Arial"/>
          <w:sz w:val="24"/>
          <w:szCs w:val="24"/>
        </w:rPr>
        <w:t xml:space="preserve">  </w:t>
      </w:r>
      <w:r w:rsidR="00760FE8" w:rsidRPr="00E553F9">
        <w:rPr>
          <w:rFonts w:ascii="Arial" w:hAnsi="Arial" w:cs="Arial"/>
          <w:sz w:val="24"/>
          <w:szCs w:val="24"/>
        </w:rPr>
        <w:t>I</w:t>
      </w:r>
      <w:r w:rsidR="00364E4B" w:rsidRPr="00E553F9">
        <w:rPr>
          <w:rFonts w:ascii="Arial" w:hAnsi="Arial" w:cs="Arial"/>
          <w:sz w:val="24"/>
          <w:szCs w:val="24"/>
        </w:rPr>
        <w:t xml:space="preserve">t is not a </w:t>
      </w:r>
      <w:r w:rsidR="00F24075" w:rsidRPr="00E553F9">
        <w:rPr>
          <w:rFonts w:ascii="Arial" w:hAnsi="Arial" w:cs="Arial"/>
          <w:sz w:val="24"/>
          <w:szCs w:val="24"/>
        </w:rPr>
        <w:t>required application component to receive full points in the merit review.</w:t>
      </w:r>
    </w:p>
    <w:p w14:paraId="39E6E99E" w14:textId="0C27A907" w:rsidR="00E31C42" w:rsidRPr="00E553F9" w:rsidRDefault="00DB5CEE" w:rsidP="00652D27">
      <w:pPr>
        <w:pStyle w:val="ListParagraph"/>
        <w:numPr>
          <w:ilvl w:val="0"/>
          <w:numId w:val="2"/>
        </w:numPr>
        <w:ind w:left="0"/>
        <w:rPr>
          <w:rFonts w:ascii="Arial" w:eastAsia="Arial" w:hAnsi="Arial" w:cs="Arial"/>
          <w:b/>
          <w:sz w:val="24"/>
          <w:szCs w:val="24"/>
        </w:rPr>
      </w:pPr>
      <w:r w:rsidRPr="00E553F9">
        <w:rPr>
          <w:rFonts w:ascii="Arial" w:eastAsia="Arial" w:hAnsi="Arial" w:cs="Arial"/>
          <w:b/>
          <w:sz w:val="24"/>
          <w:szCs w:val="24"/>
        </w:rPr>
        <w:lastRenderedPageBreak/>
        <w:t xml:space="preserve"> </w:t>
      </w:r>
      <w:r w:rsidR="0024136C" w:rsidRPr="00E553F9">
        <w:rPr>
          <w:rFonts w:ascii="Arial" w:eastAsia="Arial" w:hAnsi="Arial" w:cs="Arial"/>
          <w:b/>
          <w:sz w:val="24"/>
          <w:szCs w:val="24"/>
        </w:rPr>
        <w:t>How does the</w:t>
      </w:r>
      <w:r w:rsidR="008003D5" w:rsidRPr="00E553F9">
        <w:rPr>
          <w:rFonts w:ascii="Arial" w:eastAsia="Arial" w:hAnsi="Arial" w:cs="Arial"/>
          <w:b/>
          <w:sz w:val="24"/>
          <w:szCs w:val="24"/>
        </w:rPr>
        <w:t xml:space="preserve"> </w:t>
      </w:r>
      <w:r w:rsidR="0024136C" w:rsidRPr="00E553F9">
        <w:rPr>
          <w:rFonts w:ascii="Arial" w:eastAsia="Arial" w:hAnsi="Arial" w:cs="Arial"/>
          <w:b/>
          <w:sz w:val="24"/>
          <w:szCs w:val="24"/>
        </w:rPr>
        <w:t xml:space="preserve">funding opportunity announcement </w:t>
      </w:r>
      <w:r w:rsidR="008003D5" w:rsidRPr="00E553F9">
        <w:rPr>
          <w:rFonts w:ascii="Arial" w:eastAsia="Arial" w:hAnsi="Arial" w:cs="Arial"/>
          <w:b/>
          <w:sz w:val="24"/>
          <w:szCs w:val="24"/>
        </w:rPr>
        <w:t>incorpor</w:t>
      </w:r>
      <w:r w:rsidR="0024136C" w:rsidRPr="00E553F9">
        <w:rPr>
          <w:rFonts w:ascii="Arial" w:eastAsia="Arial" w:hAnsi="Arial" w:cs="Arial"/>
          <w:b/>
          <w:sz w:val="24"/>
          <w:szCs w:val="24"/>
        </w:rPr>
        <w:t xml:space="preserve">ate </w:t>
      </w:r>
      <w:r w:rsidRPr="00E553F9">
        <w:rPr>
          <w:rFonts w:ascii="Arial" w:eastAsia="Arial" w:hAnsi="Arial" w:cs="Arial"/>
          <w:b/>
          <w:sz w:val="24"/>
          <w:szCs w:val="24"/>
        </w:rPr>
        <w:t>DOL’s Good Jobs</w:t>
      </w:r>
      <w:r w:rsidR="00CB22A6" w:rsidRPr="00E553F9">
        <w:rPr>
          <w:rFonts w:ascii="Arial" w:eastAsia="Arial" w:hAnsi="Arial" w:cs="Arial"/>
          <w:b/>
          <w:sz w:val="24"/>
          <w:szCs w:val="24"/>
        </w:rPr>
        <w:t xml:space="preserve"> </w:t>
      </w:r>
      <w:r w:rsidRPr="00E553F9">
        <w:rPr>
          <w:rFonts w:ascii="Arial" w:eastAsia="Arial" w:hAnsi="Arial" w:cs="Arial"/>
          <w:b/>
          <w:sz w:val="24"/>
          <w:szCs w:val="24"/>
        </w:rPr>
        <w:t>Principles? </w:t>
      </w:r>
    </w:p>
    <w:p w14:paraId="3B2A7275" w14:textId="77777777" w:rsidR="000E26B2" w:rsidRPr="00E553F9" w:rsidRDefault="000E26B2" w:rsidP="00652D27">
      <w:pPr>
        <w:pStyle w:val="ListParagraph"/>
        <w:ind w:left="0"/>
        <w:rPr>
          <w:rFonts w:ascii="Arial" w:eastAsia="Arial" w:hAnsi="Arial" w:cs="Arial"/>
          <w:sz w:val="24"/>
          <w:szCs w:val="24"/>
        </w:rPr>
      </w:pPr>
    </w:p>
    <w:p w14:paraId="5AFADBCA" w14:textId="47E626B1" w:rsidR="00702C43" w:rsidRPr="00E553F9" w:rsidRDefault="00702C43" w:rsidP="00652D27">
      <w:pPr>
        <w:spacing w:after="0" w:line="240" w:lineRule="auto"/>
        <w:rPr>
          <w:rFonts w:ascii="Arial" w:eastAsia="Arial" w:hAnsi="Arial" w:cs="Arial"/>
          <w:sz w:val="24"/>
          <w:szCs w:val="24"/>
        </w:rPr>
      </w:pPr>
      <w:r w:rsidRPr="00E553F9">
        <w:rPr>
          <w:rFonts w:ascii="Arial" w:eastAsia="Arial" w:hAnsi="Arial" w:cs="Arial"/>
          <w:sz w:val="24"/>
          <w:szCs w:val="24"/>
        </w:rPr>
        <w:t xml:space="preserve">Good jobs (or quality jobs) are the foundation of an equitable economy that lifts workers and families and makes businesses more competitive.   A good job helps workers achieve economic stability and mobility, while prioritizing diversity and worker voice. </w:t>
      </w:r>
    </w:p>
    <w:p w14:paraId="2450CC7C" w14:textId="2A2EF155" w:rsidR="784054D4" w:rsidRPr="00E553F9" w:rsidRDefault="784054D4" w:rsidP="00652D27">
      <w:pPr>
        <w:spacing w:after="0" w:line="240" w:lineRule="auto"/>
        <w:rPr>
          <w:rFonts w:ascii="Arial" w:eastAsia="Arial" w:hAnsi="Arial" w:cs="Arial"/>
          <w:sz w:val="24"/>
          <w:szCs w:val="24"/>
        </w:rPr>
      </w:pPr>
      <w:bookmarkStart w:id="1" w:name="I._FUNDING_OPPORTUNITY_DESCRIPTION"/>
      <w:bookmarkStart w:id="2" w:name="A._PROGRAM_PURPOSE"/>
      <w:bookmarkEnd w:id="1"/>
      <w:bookmarkEnd w:id="2"/>
      <w:r w:rsidRPr="00E553F9">
        <w:rPr>
          <w:rFonts w:ascii="Arial" w:eastAsia="Arial" w:hAnsi="Arial" w:cs="Arial"/>
          <w:sz w:val="24"/>
          <w:szCs w:val="24"/>
        </w:rPr>
        <w:t xml:space="preserve">Applicants must incorporate </w:t>
      </w:r>
      <w:r w:rsidR="3909A4F3" w:rsidRPr="00E553F9">
        <w:rPr>
          <w:rFonts w:ascii="Arial" w:eastAsia="Arial" w:hAnsi="Arial" w:cs="Arial"/>
          <w:sz w:val="24"/>
          <w:szCs w:val="24"/>
        </w:rPr>
        <w:t xml:space="preserve">DOL’s </w:t>
      </w:r>
      <w:r w:rsidRPr="00E553F9">
        <w:rPr>
          <w:rFonts w:ascii="Arial" w:eastAsia="Arial" w:hAnsi="Arial" w:cs="Arial"/>
          <w:sz w:val="24"/>
          <w:szCs w:val="24"/>
        </w:rPr>
        <w:t>Good Job Principles in the Project Design section</w:t>
      </w:r>
      <w:r w:rsidR="339C1B74" w:rsidRPr="00E553F9">
        <w:rPr>
          <w:rFonts w:ascii="Arial" w:eastAsia="Arial" w:hAnsi="Arial" w:cs="Arial"/>
          <w:sz w:val="24"/>
          <w:szCs w:val="24"/>
        </w:rPr>
        <w:t xml:space="preserve"> </w:t>
      </w:r>
      <w:r w:rsidRPr="00E553F9">
        <w:rPr>
          <w:rFonts w:ascii="Arial" w:eastAsia="Arial" w:hAnsi="Arial" w:cs="Arial"/>
          <w:sz w:val="24"/>
          <w:szCs w:val="24"/>
        </w:rPr>
        <w:t>and Organizational, Administrative, and Fiscal Capacity</w:t>
      </w:r>
      <w:r w:rsidR="5CA13FAA" w:rsidRPr="00E553F9">
        <w:rPr>
          <w:rFonts w:ascii="Arial" w:eastAsia="Arial" w:hAnsi="Arial" w:cs="Arial"/>
          <w:sz w:val="24"/>
          <w:szCs w:val="24"/>
        </w:rPr>
        <w:t xml:space="preserve"> section</w:t>
      </w:r>
      <w:r w:rsidR="738B7766" w:rsidRPr="00E553F9">
        <w:rPr>
          <w:rFonts w:ascii="Arial" w:eastAsia="Arial" w:hAnsi="Arial" w:cs="Arial"/>
          <w:sz w:val="24"/>
          <w:szCs w:val="24"/>
        </w:rPr>
        <w:t xml:space="preserve"> of their application. </w:t>
      </w:r>
      <w:r w:rsidR="5CA13FAA" w:rsidRPr="00E553F9">
        <w:rPr>
          <w:rFonts w:ascii="Arial" w:eastAsia="Arial" w:hAnsi="Arial" w:cs="Arial"/>
          <w:sz w:val="24"/>
          <w:szCs w:val="24"/>
        </w:rPr>
        <w:t xml:space="preserve"> </w:t>
      </w:r>
    </w:p>
    <w:p w14:paraId="6229EAD1" w14:textId="721ED836" w:rsidR="3791BCFF" w:rsidRPr="00E553F9" w:rsidRDefault="3791BCFF" w:rsidP="00652D27">
      <w:pPr>
        <w:spacing w:after="0" w:line="240" w:lineRule="auto"/>
        <w:rPr>
          <w:rFonts w:ascii="Arial" w:eastAsia="Arial" w:hAnsi="Arial" w:cs="Arial"/>
          <w:sz w:val="24"/>
          <w:szCs w:val="24"/>
        </w:rPr>
      </w:pPr>
      <w:r w:rsidRPr="00E553F9">
        <w:rPr>
          <w:rFonts w:ascii="Arial" w:eastAsia="Arial" w:hAnsi="Arial" w:cs="Arial"/>
          <w:sz w:val="24"/>
          <w:szCs w:val="24"/>
        </w:rPr>
        <w:t xml:space="preserve">As specified in Section </w:t>
      </w:r>
      <w:r w:rsidRPr="00E553F9">
        <w:rPr>
          <w:rFonts w:ascii="Arial" w:eastAsia="Arial" w:hAnsi="Arial" w:cs="Arial"/>
          <w:color w:val="333333"/>
          <w:sz w:val="24"/>
          <w:szCs w:val="24"/>
        </w:rPr>
        <w:t xml:space="preserve">IV.B.3.b.i </w:t>
      </w:r>
      <w:r w:rsidR="5CA13FAA" w:rsidRPr="00E553F9">
        <w:rPr>
          <w:rFonts w:ascii="Arial" w:eastAsia="Arial" w:hAnsi="Arial" w:cs="Arial"/>
          <w:sz w:val="24"/>
          <w:szCs w:val="24"/>
        </w:rPr>
        <w:t xml:space="preserve">Project Design </w:t>
      </w:r>
      <w:r w:rsidR="0071AC7F" w:rsidRPr="00E553F9">
        <w:rPr>
          <w:rFonts w:ascii="Arial" w:eastAsia="Arial" w:hAnsi="Arial" w:cs="Arial"/>
          <w:sz w:val="24"/>
          <w:szCs w:val="24"/>
        </w:rPr>
        <w:t>of the</w:t>
      </w:r>
      <w:r w:rsidR="5CA13FAA" w:rsidRPr="00E553F9">
        <w:rPr>
          <w:rFonts w:ascii="Arial" w:eastAsia="Arial" w:hAnsi="Arial" w:cs="Arial"/>
          <w:sz w:val="24"/>
          <w:szCs w:val="24"/>
        </w:rPr>
        <w:t xml:space="preserve"> FOA, </w:t>
      </w:r>
    </w:p>
    <w:p w14:paraId="05922F81" w14:textId="0C5BA282" w:rsidR="5CA13FAA" w:rsidRPr="00E553F9" w:rsidRDefault="5CA13FAA" w:rsidP="00652D27">
      <w:pPr>
        <w:pStyle w:val="ListParagraph"/>
        <w:numPr>
          <w:ilvl w:val="0"/>
          <w:numId w:val="19"/>
        </w:numPr>
        <w:ind w:left="0"/>
        <w:rPr>
          <w:rFonts w:ascii="Arial" w:eastAsia="Arial" w:hAnsi="Arial" w:cs="Arial"/>
          <w:sz w:val="24"/>
          <w:szCs w:val="24"/>
        </w:rPr>
      </w:pPr>
      <w:r w:rsidRPr="00E553F9">
        <w:rPr>
          <w:rFonts w:ascii="Arial" w:eastAsia="Arial" w:hAnsi="Arial" w:cs="Arial"/>
          <w:sz w:val="24"/>
          <w:szCs w:val="24"/>
        </w:rPr>
        <w:t>Applicants must identify which Good Jobs Principles (a minimum of two) they will focus on through their sector-based training and partnerships and explain why they have chosen the selected principles.</w:t>
      </w:r>
    </w:p>
    <w:p w14:paraId="2E359F65" w14:textId="1D3C12E5" w:rsidR="5CA13FAA" w:rsidRPr="00E553F9" w:rsidRDefault="5CA13FAA" w:rsidP="00652D27">
      <w:pPr>
        <w:pStyle w:val="ListParagraph"/>
        <w:numPr>
          <w:ilvl w:val="0"/>
          <w:numId w:val="19"/>
        </w:numPr>
        <w:ind w:left="0"/>
        <w:rPr>
          <w:rFonts w:ascii="Arial" w:eastAsia="Arial" w:hAnsi="Arial" w:cs="Arial"/>
          <w:sz w:val="24"/>
          <w:szCs w:val="24"/>
        </w:rPr>
      </w:pPr>
      <w:r w:rsidRPr="00E553F9">
        <w:rPr>
          <w:rFonts w:ascii="Arial" w:eastAsia="Arial" w:hAnsi="Arial" w:cs="Arial"/>
          <w:sz w:val="24"/>
          <w:szCs w:val="24"/>
        </w:rPr>
        <w:t>Applicants must provide a comprehensive narrative description of how the grant project will integrate and align with a minimum of two of the Department’s eight principles of job quality. The description must address: a) the current state in each targeted sector(s) with respect to the two selected Good Jobs Principles specifically; b) specific actions that may be taken by the applicant or employer partners with support of the applicant to address the two selected Good Jobs Principles; c) how improved job quality will positively impact employment outcomes for both participants and employers; and d) identify a subset of performance indicators to measure progress towards achieving goals for a minimum of two good job principles. See Appendix B Examples of Good Jobs Principles for Program Design.</w:t>
      </w:r>
    </w:p>
    <w:p w14:paraId="3C95362F" w14:textId="77777777" w:rsidR="00D1569B" w:rsidRPr="00E553F9" w:rsidRDefault="00D1569B" w:rsidP="00652D27">
      <w:pPr>
        <w:spacing w:after="0" w:line="240" w:lineRule="auto"/>
        <w:rPr>
          <w:rFonts w:ascii="Arial" w:eastAsia="Arial" w:hAnsi="Arial" w:cs="Arial"/>
          <w:sz w:val="24"/>
          <w:szCs w:val="24"/>
        </w:rPr>
      </w:pPr>
    </w:p>
    <w:p w14:paraId="100005A2" w14:textId="59F5989A" w:rsidR="2E8270C2" w:rsidRPr="00E553F9" w:rsidRDefault="2E8270C2" w:rsidP="00652D27">
      <w:pPr>
        <w:spacing w:after="0" w:line="240" w:lineRule="auto"/>
        <w:rPr>
          <w:rFonts w:ascii="Arial" w:eastAsia="Arial" w:hAnsi="Arial" w:cs="Arial"/>
          <w:sz w:val="24"/>
          <w:szCs w:val="24"/>
        </w:rPr>
      </w:pPr>
      <w:r w:rsidRPr="00E553F9">
        <w:rPr>
          <w:rFonts w:ascii="Arial" w:eastAsia="Arial" w:hAnsi="Arial" w:cs="Arial"/>
          <w:sz w:val="24"/>
          <w:szCs w:val="24"/>
        </w:rPr>
        <w:t xml:space="preserve">As specified in </w:t>
      </w:r>
      <w:r w:rsidR="58B40C5F" w:rsidRPr="00E553F9">
        <w:rPr>
          <w:rFonts w:ascii="Arial" w:eastAsia="Arial" w:hAnsi="Arial" w:cs="Arial"/>
          <w:sz w:val="24"/>
          <w:szCs w:val="24"/>
        </w:rPr>
        <w:t>in Section IV.B.3.b.ii Project Design of the FOA,</w:t>
      </w:r>
    </w:p>
    <w:p w14:paraId="21321DA1" w14:textId="6725879D" w:rsidR="2E8270C2" w:rsidRPr="00E553F9" w:rsidRDefault="2E8270C2" w:rsidP="00652D27">
      <w:pPr>
        <w:pStyle w:val="ListParagraph"/>
        <w:numPr>
          <w:ilvl w:val="0"/>
          <w:numId w:val="17"/>
        </w:numPr>
        <w:ind w:left="0"/>
        <w:rPr>
          <w:rFonts w:ascii="Arial" w:eastAsia="Arial" w:hAnsi="Arial" w:cs="Arial"/>
          <w:sz w:val="24"/>
          <w:szCs w:val="24"/>
        </w:rPr>
      </w:pPr>
      <w:r w:rsidRPr="00E553F9">
        <w:rPr>
          <w:rFonts w:ascii="Arial" w:eastAsia="Arial" w:hAnsi="Arial" w:cs="Arial"/>
          <w:sz w:val="24"/>
          <w:szCs w:val="24"/>
        </w:rPr>
        <w:t xml:space="preserve">Applicants must describe a plan to establish or maintain partners in a strategic and coordinated manner to identify the policies and actions that can be implemented to grow good job opportunities or adopt good jobs practices into existing jobs for the target population. </w:t>
      </w:r>
    </w:p>
    <w:p w14:paraId="15E2D9FF" w14:textId="2B019D10" w:rsidR="5E2EB900" w:rsidRPr="00E553F9" w:rsidRDefault="5E2EB900" w:rsidP="00652D27">
      <w:pPr>
        <w:spacing w:after="0" w:line="240" w:lineRule="auto"/>
        <w:rPr>
          <w:rFonts w:ascii="Arial" w:eastAsia="Arial" w:hAnsi="Arial" w:cs="Arial"/>
          <w:sz w:val="24"/>
          <w:szCs w:val="24"/>
        </w:rPr>
      </w:pPr>
    </w:p>
    <w:p w14:paraId="3E7B9B20" w14:textId="6F6ECE46" w:rsidR="05C3FFFC" w:rsidRPr="00E553F9" w:rsidRDefault="05C3FFFC" w:rsidP="00652D27">
      <w:pPr>
        <w:spacing w:after="0" w:line="240" w:lineRule="auto"/>
        <w:rPr>
          <w:rFonts w:ascii="Arial" w:eastAsia="Arial" w:hAnsi="Arial" w:cs="Arial"/>
          <w:sz w:val="24"/>
          <w:szCs w:val="24"/>
        </w:rPr>
      </w:pPr>
      <w:r w:rsidRPr="00E553F9">
        <w:rPr>
          <w:rFonts w:ascii="Arial" w:eastAsia="Arial" w:hAnsi="Arial" w:cs="Arial"/>
          <w:sz w:val="24"/>
          <w:szCs w:val="24"/>
        </w:rPr>
        <w:t>As specif</w:t>
      </w:r>
      <w:r w:rsidR="00626A5E" w:rsidRPr="00E553F9">
        <w:rPr>
          <w:rFonts w:ascii="Arial" w:eastAsia="Arial" w:hAnsi="Arial" w:cs="Arial"/>
          <w:sz w:val="24"/>
          <w:szCs w:val="24"/>
        </w:rPr>
        <w:t>i</w:t>
      </w:r>
      <w:r w:rsidRPr="00E553F9">
        <w:rPr>
          <w:rFonts w:ascii="Arial" w:eastAsia="Arial" w:hAnsi="Arial" w:cs="Arial"/>
          <w:sz w:val="24"/>
          <w:szCs w:val="24"/>
        </w:rPr>
        <w:t xml:space="preserve">ed in </w:t>
      </w:r>
      <w:r w:rsidR="3BDBAC38" w:rsidRPr="00E553F9">
        <w:rPr>
          <w:rFonts w:ascii="Arial" w:eastAsia="Arial" w:hAnsi="Arial" w:cs="Arial"/>
          <w:sz w:val="24"/>
          <w:szCs w:val="24"/>
        </w:rPr>
        <w:t xml:space="preserve">Section </w:t>
      </w:r>
      <w:r w:rsidR="3BDBAC38" w:rsidRPr="00E553F9">
        <w:rPr>
          <w:rFonts w:ascii="Arial" w:eastAsia="Arial" w:hAnsi="Arial" w:cs="Arial"/>
          <w:color w:val="333333"/>
          <w:sz w:val="24"/>
          <w:szCs w:val="24"/>
        </w:rPr>
        <w:t>IV.B.3.c.i Organizational, Administrative, and Fiscal Capacity of the FOA,</w:t>
      </w:r>
    </w:p>
    <w:p w14:paraId="58458A91" w14:textId="4D371A69" w:rsidR="00F14461" w:rsidRDefault="05C3FFFC" w:rsidP="00652D27">
      <w:pPr>
        <w:pStyle w:val="ListParagraph"/>
        <w:numPr>
          <w:ilvl w:val="0"/>
          <w:numId w:val="18"/>
        </w:numPr>
        <w:ind w:left="0"/>
        <w:rPr>
          <w:rFonts w:ascii="Arial" w:eastAsia="Arial" w:hAnsi="Arial" w:cs="Arial"/>
          <w:sz w:val="24"/>
          <w:szCs w:val="24"/>
        </w:rPr>
      </w:pPr>
      <w:r w:rsidRPr="00E553F9">
        <w:rPr>
          <w:rFonts w:ascii="Arial" w:eastAsia="Arial" w:hAnsi="Arial" w:cs="Arial"/>
          <w:sz w:val="24"/>
          <w:szCs w:val="24"/>
        </w:rPr>
        <w:t>Applicants must identify a minimum of two Good Jobs Principles they will focus on and adopt within their organization. This will ensure that NFJP grant staff, who oversee the primary grant management functions, also experience the impact of embedding the Department’s Good Jobs Principles. These identified Good Job Principles may be a different set than those selected in section IV.B.3 for the grant project.</w:t>
      </w:r>
      <w:bookmarkStart w:id="3" w:name="B._PERIOD_OF_PERFORMANCE"/>
      <w:bookmarkStart w:id="4" w:name="III._ELIGIBILITY_INFORMATION"/>
      <w:bookmarkStart w:id="5" w:name="A._ELIGIBLE_APPLICANTS"/>
      <w:bookmarkStart w:id="6" w:name="_bookmark0"/>
      <w:bookmarkStart w:id="7" w:name="_bookmark1"/>
      <w:bookmarkStart w:id="8" w:name="_bookmark2"/>
      <w:bookmarkEnd w:id="3"/>
      <w:bookmarkEnd w:id="4"/>
      <w:bookmarkEnd w:id="5"/>
      <w:bookmarkEnd w:id="6"/>
      <w:bookmarkEnd w:id="7"/>
      <w:bookmarkEnd w:id="8"/>
    </w:p>
    <w:p w14:paraId="53DB21EC" w14:textId="77777777" w:rsidR="00652D27" w:rsidRPr="00652D27" w:rsidRDefault="00652D27" w:rsidP="00652D27">
      <w:pPr>
        <w:pStyle w:val="ListParagraph"/>
        <w:ind w:left="0"/>
        <w:rPr>
          <w:rFonts w:ascii="Arial" w:eastAsia="Arial" w:hAnsi="Arial" w:cs="Arial"/>
          <w:sz w:val="24"/>
          <w:szCs w:val="24"/>
        </w:rPr>
      </w:pPr>
    </w:p>
    <w:p w14:paraId="4369A9CA" w14:textId="533927FB" w:rsidR="00DB5CEE" w:rsidRPr="00E553F9" w:rsidRDefault="0024136C" w:rsidP="00652D27">
      <w:pPr>
        <w:pStyle w:val="ListParagraph"/>
        <w:numPr>
          <w:ilvl w:val="0"/>
          <w:numId w:val="2"/>
        </w:numPr>
        <w:ind w:left="0"/>
        <w:rPr>
          <w:rFonts w:ascii="Arial" w:hAnsi="Arial" w:cs="Arial"/>
          <w:b/>
          <w:bCs/>
          <w:sz w:val="24"/>
          <w:szCs w:val="24"/>
        </w:rPr>
      </w:pPr>
      <w:r w:rsidRPr="00E553F9">
        <w:rPr>
          <w:rFonts w:ascii="Arial" w:hAnsi="Arial" w:cs="Arial"/>
          <w:b/>
          <w:bCs/>
          <w:sz w:val="24"/>
          <w:szCs w:val="24"/>
        </w:rPr>
        <w:t>Could you explain the G</w:t>
      </w:r>
      <w:r w:rsidR="00E31C42" w:rsidRPr="00E553F9">
        <w:rPr>
          <w:rFonts w:ascii="Arial" w:hAnsi="Arial" w:cs="Arial"/>
          <w:b/>
          <w:bCs/>
          <w:sz w:val="24"/>
          <w:szCs w:val="24"/>
        </w:rPr>
        <w:t>uidelines for Minimum Number of Participants?</w:t>
      </w:r>
    </w:p>
    <w:p w14:paraId="4A90C2EE" w14:textId="245BE9B8" w:rsidR="0024136C" w:rsidRPr="00E553F9" w:rsidRDefault="008F39A9" w:rsidP="00652D27">
      <w:pPr>
        <w:pStyle w:val="ListParagraph"/>
        <w:ind w:left="0"/>
        <w:rPr>
          <w:rFonts w:ascii="Arial" w:hAnsi="Arial" w:cs="Arial"/>
          <w:sz w:val="24"/>
          <w:szCs w:val="24"/>
        </w:rPr>
      </w:pPr>
      <w:r w:rsidRPr="00E553F9">
        <w:rPr>
          <w:rFonts w:ascii="Arial" w:hAnsi="Arial" w:cs="Arial"/>
          <w:sz w:val="24"/>
          <w:szCs w:val="24"/>
        </w:rPr>
        <w:t xml:space="preserve">The Department developed the Guidelines for Minimum Number of Participants to be </w:t>
      </w:r>
      <w:r w:rsidR="008003D5" w:rsidRPr="00E553F9">
        <w:rPr>
          <w:rFonts w:ascii="Arial" w:hAnsi="Arial" w:cs="Arial"/>
          <w:sz w:val="24"/>
          <w:szCs w:val="24"/>
        </w:rPr>
        <w:t>e</w:t>
      </w:r>
      <w:r w:rsidRPr="00E553F9">
        <w:rPr>
          <w:rFonts w:ascii="Arial" w:hAnsi="Arial" w:cs="Arial"/>
          <w:sz w:val="24"/>
          <w:szCs w:val="24"/>
        </w:rPr>
        <w:t xml:space="preserve">nrolled based on an analysis of previous participant enrollment levels and spending trends, as described in </w:t>
      </w:r>
      <w:r w:rsidR="6856D006" w:rsidRPr="00E553F9">
        <w:rPr>
          <w:rFonts w:ascii="Arial" w:hAnsi="Arial" w:cs="Arial"/>
          <w:sz w:val="24"/>
          <w:szCs w:val="24"/>
        </w:rPr>
        <w:t xml:space="preserve">Section III.C.4 </w:t>
      </w:r>
      <w:r w:rsidRPr="00E553F9">
        <w:rPr>
          <w:rFonts w:ascii="Arial" w:hAnsi="Arial" w:cs="Arial"/>
          <w:sz w:val="24"/>
          <w:szCs w:val="24"/>
        </w:rPr>
        <w:t xml:space="preserve">Figure 1 </w:t>
      </w:r>
      <w:r w:rsidR="279278A2" w:rsidRPr="00E553F9">
        <w:rPr>
          <w:rFonts w:ascii="Arial" w:hAnsi="Arial" w:cs="Arial"/>
          <w:sz w:val="24"/>
          <w:szCs w:val="24"/>
        </w:rPr>
        <w:t>of the FOA</w:t>
      </w:r>
      <w:r w:rsidRPr="00E553F9">
        <w:rPr>
          <w:rFonts w:ascii="Arial" w:hAnsi="Arial" w:cs="Arial"/>
          <w:sz w:val="24"/>
          <w:szCs w:val="24"/>
        </w:rPr>
        <w:t xml:space="preserve">. The Department is encouraging applicants to consider these guidelines as well as other </w:t>
      </w:r>
      <w:r w:rsidR="00E9733B" w:rsidRPr="00E553F9">
        <w:rPr>
          <w:rFonts w:ascii="Arial" w:hAnsi="Arial" w:cs="Arial"/>
          <w:sz w:val="24"/>
          <w:szCs w:val="24"/>
        </w:rPr>
        <w:t xml:space="preserve">relevant </w:t>
      </w:r>
      <w:r w:rsidRPr="00E553F9">
        <w:rPr>
          <w:rFonts w:ascii="Arial" w:hAnsi="Arial" w:cs="Arial"/>
          <w:sz w:val="24"/>
          <w:szCs w:val="24"/>
        </w:rPr>
        <w:t xml:space="preserve">factors </w:t>
      </w:r>
      <w:r w:rsidR="00E9733B" w:rsidRPr="00E553F9">
        <w:rPr>
          <w:rFonts w:ascii="Arial" w:hAnsi="Arial" w:cs="Arial"/>
          <w:sz w:val="24"/>
          <w:szCs w:val="24"/>
        </w:rPr>
        <w:t>specified in</w:t>
      </w:r>
      <w:r w:rsidR="008956A3" w:rsidRPr="00E553F9">
        <w:rPr>
          <w:rFonts w:ascii="Arial" w:hAnsi="Arial" w:cs="Arial"/>
          <w:sz w:val="24"/>
          <w:szCs w:val="24"/>
        </w:rPr>
        <w:t xml:space="preserve"> Section III.C.4. </w:t>
      </w:r>
      <w:r w:rsidRPr="00E553F9">
        <w:rPr>
          <w:rFonts w:ascii="Arial" w:hAnsi="Arial" w:cs="Arial"/>
          <w:sz w:val="24"/>
          <w:szCs w:val="24"/>
        </w:rPr>
        <w:t xml:space="preserve">when determining the minimum number of enrolled participants. </w:t>
      </w:r>
    </w:p>
    <w:p w14:paraId="1FB2F7F3" w14:textId="77777777" w:rsidR="0024136C" w:rsidRPr="00E553F9" w:rsidRDefault="0024136C" w:rsidP="00652D27">
      <w:pPr>
        <w:pStyle w:val="ListParagraph"/>
        <w:ind w:left="0"/>
        <w:rPr>
          <w:rFonts w:ascii="Arial" w:hAnsi="Arial" w:cs="Arial"/>
          <w:sz w:val="24"/>
          <w:szCs w:val="24"/>
        </w:rPr>
      </w:pPr>
    </w:p>
    <w:p w14:paraId="59B74767" w14:textId="531B3A57" w:rsidR="008F39A9" w:rsidRPr="00E553F9" w:rsidRDefault="008F39A9" w:rsidP="00652D27">
      <w:pPr>
        <w:pStyle w:val="ListParagraph"/>
        <w:ind w:left="0"/>
        <w:rPr>
          <w:rFonts w:ascii="Arial" w:hAnsi="Arial" w:cs="Arial"/>
          <w:sz w:val="24"/>
          <w:szCs w:val="24"/>
        </w:rPr>
      </w:pPr>
      <w:r w:rsidRPr="00E553F9">
        <w:rPr>
          <w:rFonts w:ascii="Arial" w:hAnsi="Arial" w:cs="Arial"/>
          <w:sz w:val="24"/>
          <w:szCs w:val="24"/>
        </w:rPr>
        <w:lastRenderedPageBreak/>
        <w:t>If the proposed minimum number of participants to be enrolled is higher or lower than the guidelines, applicants must explain the difference and use available data to support their explanation (for example, when determining the minimum number of participants to be enrolled</w:t>
      </w:r>
      <w:r w:rsidR="2B135834" w:rsidRPr="00E553F9">
        <w:rPr>
          <w:rFonts w:ascii="Arial" w:hAnsi="Arial" w:cs="Arial"/>
          <w:sz w:val="24"/>
          <w:szCs w:val="24"/>
        </w:rPr>
        <w:t>,</w:t>
      </w:r>
      <w:r w:rsidRPr="00E553F9">
        <w:rPr>
          <w:rFonts w:ascii="Arial" w:hAnsi="Arial" w:cs="Arial"/>
          <w:sz w:val="24"/>
          <w:szCs w:val="24"/>
        </w:rPr>
        <w:t xml:space="preserve"> consider your estimated cost-per-participant range, the type of services that will be included in your proposed project design, costs for sector specific training, and the type of supportive services that participants need to successfully engage in the program and realize their career goals).</w:t>
      </w:r>
    </w:p>
    <w:p w14:paraId="1FDE3FBF" w14:textId="77777777" w:rsidR="00652D27" w:rsidRPr="00652D27" w:rsidRDefault="00652D27" w:rsidP="00652D27">
      <w:pPr>
        <w:rPr>
          <w:rFonts w:ascii="Arial" w:hAnsi="Arial" w:cs="Arial"/>
          <w:sz w:val="24"/>
          <w:szCs w:val="24"/>
        </w:rPr>
      </w:pPr>
    </w:p>
    <w:p w14:paraId="5E52D29B" w14:textId="6D38CE0A" w:rsidR="00DC58EA" w:rsidRPr="00E553F9" w:rsidRDefault="00580C5B" w:rsidP="00652D27">
      <w:pPr>
        <w:pStyle w:val="ListParagraph"/>
        <w:numPr>
          <w:ilvl w:val="0"/>
          <w:numId w:val="2"/>
        </w:numPr>
        <w:ind w:left="0"/>
        <w:rPr>
          <w:rFonts w:ascii="Arial" w:hAnsi="Arial" w:cs="Arial"/>
          <w:b/>
          <w:sz w:val="24"/>
          <w:szCs w:val="24"/>
        </w:rPr>
      </w:pPr>
      <w:r w:rsidRPr="00E553F9">
        <w:rPr>
          <w:rFonts w:ascii="Arial" w:hAnsi="Arial" w:cs="Arial"/>
          <w:b/>
          <w:sz w:val="24"/>
          <w:szCs w:val="24"/>
        </w:rPr>
        <w:t>Is there a page limit for the project narrative?</w:t>
      </w:r>
    </w:p>
    <w:p w14:paraId="482FE7AE" w14:textId="368BDE11" w:rsidR="00DC58EA" w:rsidRPr="00E553F9" w:rsidRDefault="00DC58EA" w:rsidP="00652D27">
      <w:pPr>
        <w:spacing w:after="0" w:line="240" w:lineRule="auto"/>
        <w:rPr>
          <w:rFonts w:ascii="Arial" w:hAnsi="Arial" w:cs="Arial"/>
          <w:sz w:val="24"/>
          <w:szCs w:val="24"/>
        </w:rPr>
      </w:pPr>
      <w:r w:rsidRPr="00E553F9">
        <w:rPr>
          <w:rFonts w:ascii="Arial" w:hAnsi="Arial" w:cs="Arial"/>
          <w:sz w:val="24"/>
          <w:szCs w:val="24"/>
        </w:rPr>
        <w:t xml:space="preserve">The Project Narrative must demonstrate your capability to implement the grant project in accordance with the provisions of this </w:t>
      </w:r>
      <w:r w:rsidR="26ECFE65" w:rsidRPr="00E553F9">
        <w:rPr>
          <w:rFonts w:ascii="Arial" w:hAnsi="Arial" w:cs="Arial"/>
          <w:sz w:val="24"/>
          <w:szCs w:val="24"/>
        </w:rPr>
        <w:t>funding opportunity a</w:t>
      </w:r>
      <w:r w:rsidRPr="00E553F9">
        <w:rPr>
          <w:rFonts w:ascii="Arial" w:hAnsi="Arial" w:cs="Arial"/>
          <w:sz w:val="24"/>
          <w:szCs w:val="24"/>
        </w:rPr>
        <w:t>nnouncement.</w:t>
      </w:r>
      <w:r w:rsidR="00204571" w:rsidRPr="00E553F9">
        <w:rPr>
          <w:rFonts w:ascii="Arial" w:hAnsi="Arial" w:cs="Arial"/>
          <w:sz w:val="24"/>
          <w:szCs w:val="24"/>
        </w:rPr>
        <w:t xml:space="preserve">  </w:t>
      </w:r>
      <w:r w:rsidR="762C53EA" w:rsidRPr="00E553F9">
        <w:rPr>
          <w:rFonts w:ascii="Arial" w:hAnsi="Arial" w:cs="Arial"/>
          <w:sz w:val="24"/>
          <w:szCs w:val="24"/>
        </w:rPr>
        <w:t>The Project Narrative</w:t>
      </w:r>
      <w:r w:rsidRPr="00E553F9">
        <w:rPr>
          <w:rFonts w:ascii="Arial" w:hAnsi="Arial" w:cs="Arial"/>
          <w:sz w:val="24"/>
          <w:szCs w:val="24"/>
        </w:rPr>
        <w:t xml:space="preserve"> provides a comprehensive framework and description of all aspects of the proposed project. It must be succinct, self-explanatory, and well-organized so that reviewers can understand the proposed project.</w:t>
      </w:r>
    </w:p>
    <w:p w14:paraId="0368D1B2" w14:textId="10276582" w:rsidR="00A75294" w:rsidRPr="00E553F9" w:rsidRDefault="00DC58EA" w:rsidP="00652D27">
      <w:pPr>
        <w:pStyle w:val="ListParagraph"/>
        <w:ind w:left="0"/>
        <w:rPr>
          <w:rFonts w:ascii="Arial" w:hAnsi="Arial" w:cs="Arial"/>
          <w:sz w:val="24"/>
          <w:szCs w:val="24"/>
        </w:rPr>
      </w:pPr>
      <w:r w:rsidRPr="00E553F9">
        <w:rPr>
          <w:rFonts w:ascii="Arial" w:hAnsi="Arial" w:cs="Arial"/>
          <w:sz w:val="24"/>
          <w:szCs w:val="24"/>
        </w:rPr>
        <w:t xml:space="preserve">The Project Narrative is limited to 25 double-spaced single-sided 8.5 x </w:t>
      </w:r>
      <w:r w:rsidR="00596E16" w:rsidRPr="00E553F9">
        <w:rPr>
          <w:rFonts w:ascii="Arial" w:hAnsi="Arial" w:cs="Arial"/>
          <w:sz w:val="24"/>
          <w:szCs w:val="24"/>
        </w:rPr>
        <w:t>11-inch</w:t>
      </w:r>
      <w:r w:rsidRPr="00E553F9">
        <w:rPr>
          <w:rFonts w:ascii="Arial" w:hAnsi="Arial" w:cs="Arial"/>
          <w:sz w:val="24"/>
          <w:szCs w:val="24"/>
        </w:rPr>
        <w:t xml:space="preserve"> pages with Times New Roman 12-point text font and 1-inch margins. You must number the Project Narrative beginning with page number 1.</w:t>
      </w:r>
      <w:r w:rsidR="61C81740" w:rsidRPr="00E553F9">
        <w:rPr>
          <w:rFonts w:ascii="Arial" w:hAnsi="Arial" w:cs="Arial"/>
          <w:sz w:val="24"/>
          <w:szCs w:val="24"/>
        </w:rPr>
        <w:t xml:space="preserve"> Within the Project Narrative, </w:t>
      </w:r>
      <w:r w:rsidR="00580C5B" w:rsidRPr="00E553F9">
        <w:rPr>
          <w:rFonts w:ascii="Arial" w:hAnsi="Arial" w:cs="Arial"/>
          <w:sz w:val="24"/>
          <w:szCs w:val="24"/>
        </w:rPr>
        <w:t xml:space="preserve">DOL encourages using a table format where useful. Tables must be legible but are not required to be 12-point font. </w:t>
      </w:r>
      <w:r w:rsidR="5556CBC3" w:rsidRPr="00E553F9">
        <w:rPr>
          <w:rFonts w:ascii="Arial" w:hAnsi="Arial" w:cs="Arial"/>
          <w:sz w:val="24"/>
          <w:szCs w:val="24"/>
        </w:rPr>
        <w:t>DOL</w:t>
      </w:r>
      <w:r w:rsidRPr="00E553F9">
        <w:rPr>
          <w:rFonts w:ascii="Arial" w:hAnsi="Arial" w:cs="Arial"/>
          <w:sz w:val="24"/>
          <w:szCs w:val="24"/>
        </w:rPr>
        <w:t xml:space="preserve"> will not read or consider any materials beyond the specified page limit in the application</w:t>
      </w:r>
      <w:r w:rsidR="00204571" w:rsidRPr="00E553F9">
        <w:rPr>
          <w:rFonts w:ascii="Arial" w:hAnsi="Arial" w:cs="Arial"/>
          <w:sz w:val="24"/>
          <w:szCs w:val="24"/>
        </w:rPr>
        <w:t xml:space="preserve"> </w:t>
      </w:r>
      <w:r w:rsidRPr="00E553F9">
        <w:rPr>
          <w:rFonts w:ascii="Arial" w:hAnsi="Arial" w:cs="Arial"/>
          <w:sz w:val="24"/>
          <w:szCs w:val="24"/>
        </w:rPr>
        <w:t>review process.</w:t>
      </w:r>
      <w:r w:rsidR="005F1292" w:rsidRPr="00E553F9">
        <w:rPr>
          <w:rFonts w:ascii="Arial" w:hAnsi="Arial" w:cs="Arial"/>
          <w:sz w:val="24"/>
          <w:szCs w:val="24"/>
        </w:rPr>
        <w:t xml:space="preserve"> </w:t>
      </w:r>
    </w:p>
    <w:p w14:paraId="4C704FD3" w14:textId="77777777" w:rsidR="00A75294" w:rsidRPr="00E553F9" w:rsidRDefault="00A75294" w:rsidP="00652D27">
      <w:pPr>
        <w:pStyle w:val="ListParagraph"/>
        <w:ind w:left="0"/>
        <w:rPr>
          <w:rFonts w:ascii="Arial" w:hAnsi="Arial" w:cs="Arial"/>
          <w:sz w:val="24"/>
          <w:szCs w:val="24"/>
        </w:rPr>
      </w:pPr>
    </w:p>
    <w:p w14:paraId="2EDD306D" w14:textId="737D1872" w:rsidR="00DC58EA" w:rsidRPr="00E553F9" w:rsidRDefault="00580C5B" w:rsidP="00652D27">
      <w:pPr>
        <w:pStyle w:val="ListParagraph"/>
        <w:ind w:left="0"/>
        <w:rPr>
          <w:rFonts w:ascii="Arial" w:hAnsi="Arial" w:cs="Arial"/>
          <w:sz w:val="24"/>
          <w:szCs w:val="24"/>
        </w:rPr>
      </w:pPr>
      <w:r w:rsidRPr="00E553F9">
        <w:rPr>
          <w:rFonts w:ascii="Arial" w:hAnsi="Arial" w:cs="Arial"/>
          <w:sz w:val="24"/>
          <w:szCs w:val="24"/>
        </w:rPr>
        <w:t xml:space="preserve">See the Attachments to the Project Narrative section in the </w:t>
      </w:r>
      <w:r w:rsidR="0024136C" w:rsidRPr="00E553F9">
        <w:rPr>
          <w:rFonts w:ascii="Arial" w:hAnsi="Arial" w:cs="Arial"/>
          <w:sz w:val="24"/>
          <w:szCs w:val="24"/>
        </w:rPr>
        <w:t>Funding Opportunity Announcement</w:t>
      </w:r>
      <w:r w:rsidRPr="00E553F9">
        <w:rPr>
          <w:rFonts w:ascii="Arial" w:hAnsi="Arial" w:cs="Arial"/>
          <w:sz w:val="24"/>
          <w:szCs w:val="24"/>
        </w:rPr>
        <w:t>.</w:t>
      </w:r>
    </w:p>
    <w:p w14:paraId="6BA3E1F9" w14:textId="77777777" w:rsidR="00DB5CEE" w:rsidRPr="00E553F9" w:rsidRDefault="00DB5CEE" w:rsidP="00652D27">
      <w:pPr>
        <w:pStyle w:val="ListParagraph"/>
        <w:ind w:left="0"/>
        <w:rPr>
          <w:rFonts w:ascii="Arial" w:hAnsi="Arial" w:cs="Arial"/>
          <w:sz w:val="24"/>
          <w:szCs w:val="24"/>
        </w:rPr>
      </w:pPr>
    </w:p>
    <w:p w14:paraId="1C8E2F78" w14:textId="1F2233BF" w:rsidR="00DA3A32" w:rsidRPr="00E553F9" w:rsidRDefault="00DA3A32" w:rsidP="00652D27">
      <w:pPr>
        <w:pStyle w:val="ListParagraph"/>
        <w:numPr>
          <w:ilvl w:val="0"/>
          <w:numId w:val="2"/>
        </w:numPr>
        <w:ind w:left="0"/>
        <w:rPr>
          <w:rFonts w:ascii="Arial" w:hAnsi="Arial" w:cs="Arial"/>
          <w:b/>
          <w:bCs/>
          <w:sz w:val="24"/>
          <w:szCs w:val="24"/>
        </w:rPr>
      </w:pPr>
      <w:r w:rsidRPr="00E553F9">
        <w:rPr>
          <w:rFonts w:ascii="Arial" w:hAnsi="Arial" w:cs="Arial"/>
          <w:b/>
          <w:bCs/>
          <w:sz w:val="24"/>
          <w:szCs w:val="24"/>
        </w:rPr>
        <w:t xml:space="preserve">State Workforce Agencies’ State Monitor Advocates </w:t>
      </w:r>
      <w:r w:rsidR="00DB5CEE" w:rsidRPr="00E553F9">
        <w:rPr>
          <w:rFonts w:ascii="Arial" w:hAnsi="Arial" w:cs="Arial"/>
          <w:b/>
          <w:bCs/>
          <w:sz w:val="24"/>
          <w:szCs w:val="24"/>
        </w:rPr>
        <w:t xml:space="preserve">are </w:t>
      </w:r>
      <w:r w:rsidRPr="00E553F9">
        <w:rPr>
          <w:rFonts w:ascii="Arial" w:hAnsi="Arial" w:cs="Arial"/>
          <w:b/>
          <w:bCs/>
          <w:sz w:val="24"/>
          <w:szCs w:val="24"/>
        </w:rPr>
        <w:t xml:space="preserve">required to have an established memorandum of understanding (MOU) with National Farmworker Jobs Program grantees. Data-sharing is often part of the MOU between State Monitor Advocates and National Farmworker Jobs Program.  Could State Workforce Agencies’ use National Farmworker Jobs Program’s performance data as their own past performance if they submit an application for this </w:t>
      </w:r>
      <w:r w:rsidR="0099768F" w:rsidRPr="00E553F9">
        <w:rPr>
          <w:rFonts w:ascii="Arial" w:hAnsi="Arial" w:cs="Arial"/>
          <w:b/>
          <w:bCs/>
          <w:sz w:val="24"/>
          <w:szCs w:val="24"/>
        </w:rPr>
        <w:t>funding opportunity announcement</w:t>
      </w:r>
      <w:r w:rsidRPr="00E553F9">
        <w:rPr>
          <w:rFonts w:ascii="Arial" w:hAnsi="Arial" w:cs="Arial"/>
          <w:b/>
          <w:bCs/>
          <w:sz w:val="24"/>
          <w:szCs w:val="24"/>
        </w:rPr>
        <w:t xml:space="preserve">?   </w:t>
      </w:r>
    </w:p>
    <w:p w14:paraId="2EC0080F" w14:textId="77777777" w:rsidR="00F03A4C" w:rsidRPr="00E553F9" w:rsidRDefault="00F03A4C" w:rsidP="00652D27">
      <w:pPr>
        <w:pStyle w:val="ListParagraph"/>
        <w:ind w:left="0"/>
        <w:rPr>
          <w:rFonts w:ascii="Arial" w:hAnsi="Arial" w:cs="Arial"/>
          <w:sz w:val="24"/>
          <w:szCs w:val="24"/>
        </w:rPr>
      </w:pPr>
    </w:p>
    <w:p w14:paraId="4F085856" w14:textId="1F2A9E84" w:rsidR="00DB5CEE" w:rsidRPr="00F14461" w:rsidRDefault="0099768F" w:rsidP="00652D27">
      <w:pPr>
        <w:spacing w:after="0" w:line="240" w:lineRule="auto"/>
        <w:rPr>
          <w:rFonts w:ascii="Arial" w:hAnsi="Arial" w:cs="Arial"/>
          <w:sz w:val="24"/>
          <w:szCs w:val="24"/>
        </w:rPr>
      </w:pPr>
      <w:r w:rsidRPr="00E553F9">
        <w:rPr>
          <w:rFonts w:ascii="Arial" w:hAnsi="Arial" w:cs="Arial"/>
          <w:sz w:val="24"/>
          <w:szCs w:val="24"/>
        </w:rPr>
        <w:t xml:space="preserve">No. If a State Workforce Agency is interested in submitting an application for this grant, </w:t>
      </w:r>
      <w:r w:rsidR="36773B8F" w:rsidRPr="00E553F9">
        <w:rPr>
          <w:rFonts w:ascii="Arial" w:hAnsi="Arial" w:cs="Arial"/>
          <w:sz w:val="24"/>
          <w:szCs w:val="24"/>
        </w:rPr>
        <w:t xml:space="preserve">and </w:t>
      </w:r>
      <w:r w:rsidR="36773B8F" w:rsidRPr="00E553F9">
        <w:rPr>
          <w:rFonts w:ascii="Arial" w:eastAsia="Calibri" w:hAnsi="Arial" w:cs="Arial"/>
          <w:sz w:val="24"/>
          <w:szCs w:val="24"/>
        </w:rPr>
        <w:t xml:space="preserve">did not receive an NFJP award in </w:t>
      </w:r>
      <w:r w:rsidRPr="00E553F9">
        <w:rPr>
          <w:rFonts w:ascii="Arial" w:eastAsia="Calibri" w:hAnsi="Arial" w:cs="Arial"/>
          <w:sz w:val="24"/>
          <w:szCs w:val="24"/>
        </w:rPr>
        <w:t xml:space="preserve">the </w:t>
      </w:r>
      <w:r w:rsidR="36773B8F" w:rsidRPr="00E553F9">
        <w:rPr>
          <w:rFonts w:ascii="Arial" w:eastAsia="Calibri" w:hAnsi="Arial" w:cs="Arial"/>
          <w:sz w:val="24"/>
          <w:szCs w:val="24"/>
        </w:rPr>
        <w:t xml:space="preserve">most recent competition cycle (program years 2020-2023), </w:t>
      </w:r>
      <w:r w:rsidR="00981CF4" w:rsidRPr="00E553F9">
        <w:rPr>
          <w:rFonts w:ascii="Arial" w:hAnsi="Arial" w:cs="Arial"/>
          <w:sz w:val="24"/>
          <w:szCs w:val="24"/>
        </w:rPr>
        <w:t xml:space="preserve">they must </w:t>
      </w:r>
      <w:r w:rsidRPr="00E553F9">
        <w:rPr>
          <w:rFonts w:ascii="Arial" w:hAnsi="Arial" w:cs="Arial"/>
          <w:sz w:val="24"/>
          <w:szCs w:val="24"/>
        </w:rPr>
        <w:t xml:space="preserve">follow the past performance instructions for </w:t>
      </w:r>
      <w:r w:rsidR="00F37FAD" w:rsidRPr="00E553F9">
        <w:rPr>
          <w:rFonts w:ascii="Arial" w:hAnsi="Arial" w:cs="Arial"/>
          <w:sz w:val="24"/>
          <w:szCs w:val="24"/>
        </w:rPr>
        <w:t>Category B applicants</w:t>
      </w:r>
      <w:r w:rsidRPr="00E553F9">
        <w:rPr>
          <w:rFonts w:ascii="Arial" w:hAnsi="Arial" w:cs="Arial"/>
          <w:sz w:val="24"/>
          <w:szCs w:val="24"/>
        </w:rPr>
        <w:t>. Category B applicants</w:t>
      </w:r>
      <w:r w:rsidR="00F37FAD" w:rsidRPr="00E553F9">
        <w:rPr>
          <w:rFonts w:ascii="Arial" w:hAnsi="Arial" w:cs="Arial"/>
          <w:sz w:val="24"/>
          <w:szCs w:val="24"/>
        </w:rPr>
        <w:t xml:space="preserve"> must provide past performance data from </w:t>
      </w:r>
      <w:r w:rsidR="00981CF4" w:rsidRPr="00E553F9">
        <w:rPr>
          <w:rFonts w:ascii="Arial" w:hAnsi="Arial" w:cs="Arial"/>
          <w:sz w:val="24"/>
          <w:szCs w:val="24"/>
        </w:rPr>
        <w:t>a</w:t>
      </w:r>
      <w:r w:rsidR="00F37FAD" w:rsidRPr="00E553F9">
        <w:rPr>
          <w:rFonts w:ascii="Arial" w:hAnsi="Arial" w:cs="Arial"/>
          <w:sz w:val="24"/>
          <w:szCs w:val="24"/>
        </w:rPr>
        <w:t xml:space="preserve"> completed project. Past performance data includes information for participant enrollment per year, career services and training related performance measures, and size and scope for a federally</w:t>
      </w:r>
      <w:r w:rsidR="00887571" w:rsidRPr="00E553F9">
        <w:rPr>
          <w:rFonts w:ascii="Arial" w:hAnsi="Arial" w:cs="Arial"/>
          <w:sz w:val="24"/>
          <w:szCs w:val="24"/>
        </w:rPr>
        <w:t>-</w:t>
      </w:r>
      <w:r w:rsidR="00F37FAD" w:rsidRPr="00E553F9">
        <w:rPr>
          <w:rFonts w:ascii="Arial" w:hAnsi="Arial" w:cs="Arial"/>
          <w:sz w:val="24"/>
          <w:szCs w:val="24"/>
        </w:rPr>
        <w:t xml:space="preserve">and/or non-federally-funded assistance agreement that is similar in size and relevance to the proposed project and was completed within the last five years of the closing date of this </w:t>
      </w:r>
      <w:r w:rsidR="00981CF4" w:rsidRPr="00E553F9">
        <w:rPr>
          <w:rFonts w:ascii="Arial" w:hAnsi="Arial" w:cs="Arial"/>
          <w:sz w:val="24"/>
          <w:szCs w:val="24"/>
        </w:rPr>
        <w:t>funding opportunity announcement</w:t>
      </w:r>
      <w:r w:rsidR="00F37FAD" w:rsidRPr="00E553F9">
        <w:rPr>
          <w:rFonts w:ascii="Arial" w:hAnsi="Arial" w:cs="Arial"/>
          <w:sz w:val="24"/>
          <w:szCs w:val="24"/>
        </w:rPr>
        <w:t xml:space="preserve">. The information must be provided in a Past Performance Chart as an attachment to the Project Narrative. The chart must be signed by the grantor or a letter must be provided from the grantor verifying the past performance data. This letter must be on grantor letterhead and contain contact information for the grantor. The Past Performance Chart must </w:t>
      </w:r>
      <w:r w:rsidR="00F37FAD" w:rsidRPr="00E553F9">
        <w:rPr>
          <w:rFonts w:ascii="Arial" w:hAnsi="Arial" w:cs="Arial"/>
          <w:sz w:val="24"/>
          <w:szCs w:val="24"/>
        </w:rPr>
        <w:lastRenderedPageBreak/>
        <w:t xml:space="preserve">include the following information: Grantor name and contact information; project information/grant objectives; and performance goals and size and scope. </w:t>
      </w:r>
    </w:p>
    <w:p w14:paraId="39560ED1" w14:textId="77777777" w:rsidR="00652D27" w:rsidRDefault="00652D27" w:rsidP="00652D27">
      <w:pPr>
        <w:pStyle w:val="ListParagraph"/>
        <w:ind w:left="0"/>
        <w:rPr>
          <w:rFonts w:ascii="Arial" w:hAnsi="Arial" w:cs="Arial"/>
          <w:b/>
          <w:bCs/>
          <w:sz w:val="24"/>
          <w:szCs w:val="24"/>
        </w:rPr>
      </w:pPr>
    </w:p>
    <w:p w14:paraId="0E31C8A4" w14:textId="2C4049A5" w:rsidR="00DB5CEE" w:rsidRPr="00E553F9" w:rsidRDefault="00DB5CEE" w:rsidP="00652D27">
      <w:pPr>
        <w:pStyle w:val="ListParagraph"/>
        <w:numPr>
          <w:ilvl w:val="0"/>
          <w:numId w:val="2"/>
        </w:numPr>
        <w:ind w:left="0"/>
        <w:rPr>
          <w:rFonts w:ascii="Arial" w:hAnsi="Arial" w:cs="Arial"/>
          <w:b/>
          <w:bCs/>
          <w:sz w:val="24"/>
          <w:szCs w:val="24"/>
        </w:rPr>
      </w:pPr>
      <w:r w:rsidRPr="00E553F9">
        <w:rPr>
          <w:rFonts w:ascii="Arial" w:hAnsi="Arial" w:cs="Arial"/>
          <w:b/>
          <w:bCs/>
          <w:sz w:val="24"/>
          <w:szCs w:val="24"/>
        </w:rPr>
        <w:t xml:space="preserve">Are we required </w:t>
      </w:r>
      <w:r w:rsidR="00203721" w:rsidRPr="00E553F9">
        <w:rPr>
          <w:rFonts w:ascii="Arial" w:hAnsi="Arial" w:cs="Arial"/>
          <w:b/>
          <w:bCs/>
          <w:sz w:val="24"/>
          <w:szCs w:val="24"/>
        </w:rPr>
        <w:t xml:space="preserve">to </w:t>
      </w:r>
      <w:r w:rsidR="00981CF4" w:rsidRPr="00E553F9">
        <w:rPr>
          <w:rFonts w:ascii="Arial" w:hAnsi="Arial" w:cs="Arial"/>
          <w:b/>
          <w:bCs/>
          <w:sz w:val="24"/>
          <w:szCs w:val="24"/>
        </w:rPr>
        <w:t xml:space="preserve">develop </w:t>
      </w:r>
      <w:r w:rsidRPr="00E553F9">
        <w:rPr>
          <w:rFonts w:ascii="Arial" w:hAnsi="Arial" w:cs="Arial"/>
          <w:b/>
          <w:bCs/>
          <w:sz w:val="24"/>
          <w:szCs w:val="24"/>
        </w:rPr>
        <w:t xml:space="preserve">apprenticeships with this </w:t>
      </w:r>
      <w:r w:rsidR="00981CF4" w:rsidRPr="00E553F9">
        <w:rPr>
          <w:rFonts w:ascii="Arial" w:hAnsi="Arial" w:cs="Arial"/>
          <w:b/>
          <w:bCs/>
          <w:sz w:val="24"/>
          <w:szCs w:val="24"/>
        </w:rPr>
        <w:t>funding opportunity announcement</w:t>
      </w:r>
      <w:r w:rsidRPr="00E553F9">
        <w:rPr>
          <w:rFonts w:ascii="Arial" w:hAnsi="Arial" w:cs="Arial"/>
          <w:b/>
          <w:bCs/>
          <w:sz w:val="24"/>
          <w:szCs w:val="24"/>
        </w:rPr>
        <w:t>?</w:t>
      </w:r>
    </w:p>
    <w:p w14:paraId="747DCB09" w14:textId="77777777" w:rsidR="00F03A4C" w:rsidRPr="00E553F9" w:rsidRDefault="00F03A4C" w:rsidP="00652D27">
      <w:pPr>
        <w:spacing w:after="0" w:line="240" w:lineRule="auto"/>
        <w:rPr>
          <w:rFonts w:ascii="Arial" w:hAnsi="Arial" w:cs="Arial"/>
          <w:sz w:val="24"/>
          <w:szCs w:val="24"/>
        </w:rPr>
      </w:pPr>
    </w:p>
    <w:p w14:paraId="71741819" w14:textId="19988704" w:rsidR="00001CEC" w:rsidRPr="00E553F9" w:rsidRDefault="0FACD29E" w:rsidP="00652D27">
      <w:pPr>
        <w:spacing w:after="0" w:line="240" w:lineRule="auto"/>
        <w:rPr>
          <w:rFonts w:ascii="Arial" w:hAnsi="Arial" w:cs="Arial"/>
          <w:sz w:val="24"/>
          <w:szCs w:val="24"/>
        </w:rPr>
      </w:pPr>
      <w:r w:rsidRPr="00E553F9">
        <w:rPr>
          <w:rFonts w:ascii="Arial" w:hAnsi="Arial" w:cs="Arial"/>
          <w:sz w:val="24"/>
          <w:szCs w:val="24"/>
        </w:rPr>
        <w:t>No</w:t>
      </w:r>
      <w:r w:rsidR="5F25B6B5" w:rsidRPr="00E553F9">
        <w:rPr>
          <w:rFonts w:ascii="Arial" w:hAnsi="Arial" w:cs="Arial"/>
          <w:sz w:val="24"/>
          <w:szCs w:val="24"/>
        </w:rPr>
        <w:t xml:space="preserve">, applicants are not required to develop apprenticeship </w:t>
      </w:r>
      <w:r w:rsidR="216A5576" w:rsidRPr="00E553F9">
        <w:rPr>
          <w:rFonts w:ascii="Arial" w:hAnsi="Arial" w:cs="Arial"/>
          <w:sz w:val="24"/>
          <w:szCs w:val="24"/>
        </w:rPr>
        <w:t xml:space="preserve">programs </w:t>
      </w:r>
      <w:r w:rsidR="5F25B6B5" w:rsidRPr="00E553F9">
        <w:rPr>
          <w:rFonts w:ascii="Arial" w:hAnsi="Arial" w:cs="Arial"/>
          <w:sz w:val="24"/>
          <w:szCs w:val="24"/>
        </w:rPr>
        <w:t>but may do so</w:t>
      </w:r>
      <w:r w:rsidRPr="00E553F9">
        <w:rPr>
          <w:rFonts w:ascii="Arial" w:hAnsi="Arial" w:cs="Arial"/>
          <w:sz w:val="24"/>
          <w:szCs w:val="24"/>
        </w:rPr>
        <w:t xml:space="preserve">. </w:t>
      </w:r>
      <w:r w:rsidR="5611323D" w:rsidRPr="00E553F9">
        <w:rPr>
          <w:rFonts w:ascii="Arial" w:hAnsi="Arial" w:cs="Arial"/>
          <w:sz w:val="24"/>
          <w:szCs w:val="24"/>
        </w:rPr>
        <w:t xml:space="preserve">Under this </w:t>
      </w:r>
      <w:r w:rsidR="1FA50389" w:rsidRPr="00E553F9">
        <w:rPr>
          <w:rFonts w:ascii="Arial" w:hAnsi="Arial" w:cs="Arial"/>
          <w:sz w:val="24"/>
          <w:szCs w:val="24"/>
        </w:rPr>
        <w:t>FOA</w:t>
      </w:r>
      <w:r w:rsidR="5611323D" w:rsidRPr="00E553F9">
        <w:rPr>
          <w:rFonts w:ascii="Arial" w:hAnsi="Arial" w:cs="Arial"/>
          <w:sz w:val="24"/>
          <w:szCs w:val="24"/>
        </w:rPr>
        <w:t xml:space="preserve">, </w:t>
      </w:r>
      <w:r w:rsidR="030F40C0" w:rsidRPr="00E553F9">
        <w:rPr>
          <w:rFonts w:ascii="Arial" w:hAnsi="Arial" w:cs="Arial"/>
          <w:sz w:val="24"/>
          <w:szCs w:val="24"/>
        </w:rPr>
        <w:t>m</w:t>
      </w:r>
      <w:r w:rsidR="00533B7C" w:rsidRPr="00E553F9">
        <w:rPr>
          <w:rFonts w:ascii="Arial" w:hAnsi="Arial" w:cs="Arial"/>
          <w:sz w:val="24"/>
          <w:szCs w:val="24"/>
        </w:rPr>
        <w:t xml:space="preserve">igrant and seasonal farmworkers and their dependents, including youth and adults, will receive quality career services and training opportunities that lead to industry-recognized credentials and good jobs in agriculture and non-agriculture sectors.  </w:t>
      </w:r>
      <w:r w:rsidR="71F3E355" w:rsidRPr="00E553F9">
        <w:rPr>
          <w:rFonts w:ascii="Arial" w:hAnsi="Arial" w:cs="Arial"/>
          <w:sz w:val="24"/>
          <w:szCs w:val="24"/>
        </w:rPr>
        <w:t xml:space="preserve">Under the NFJP model, grant recipients are required to leverage their familiarity with the agricultural industries and the labor market needs of the proposed service area and their understanding of the challenges that migrant and seasonal farmworkers experience to be better positioned to design, administer, and </w:t>
      </w:r>
      <w:proofErr w:type="gramStart"/>
      <w:r w:rsidR="71F3E355" w:rsidRPr="00E553F9">
        <w:rPr>
          <w:rFonts w:ascii="Arial" w:hAnsi="Arial" w:cs="Arial"/>
          <w:sz w:val="24"/>
          <w:szCs w:val="24"/>
        </w:rPr>
        <w:t>deliver effectively</w:t>
      </w:r>
      <w:proofErr w:type="gramEnd"/>
      <w:r w:rsidR="71F3E355" w:rsidRPr="00E553F9">
        <w:rPr>
          <w:rFonts w:ascii="Arial" w:hAnsi="Arial" w:cs="Arial"/>
          <w:sz w:val="24"/>
          <w:szCs w:val="24"/>
        </w:rPr>
        <w:t xml:space="preserve"> a diversified program of workforce investment activities. </w:t>
      </w:r>
      <w:r w:rsidR="623202C3" w:rsidRPr="00E553F9">
        <w:rPr>
          <w:rFonts w:ascii="Arial" w:hAnsi="Arial" w:cs="Arial"/>
          <w:sz w:val="24"/>
          <w:szCs w:val="24"/>
        </w:rPr>
        <w:t>As discussed in Section</w:t>
      </w:r>
      <w:r w:rsidR="24A138D7" w:rsidRPr="00E553F9">
        <w:rPr>
          <w:rFonts w:ascii="Arial" w:hAnsi="Arial" w:cs="Arial"/>
          <w:sz w:val="24"/>
          <w:szCs w:val="24"/>
        </w:rPr>
        <w:t>s I.A and IV.</w:t>
      </w:r>
      <w:r w:rsidR="0D759ACC" w:rsidRPr="00E553F9">
        <w:rPr>
          <w:rFonts w:ascii="Arial" w:hAnsi="Arial" w:cs="Arial"/>
          <w:sz w:val="24"/>
          <w:szCs w:val="24"/>
        </w:rPr>
        <w:t xml:space="preserve">B </w:t>
      </w:r>
      <w:r w:rsidR="24A138D7" w:rsidRPr="00E553F9">
        <w:rPr>
          <w:rFonts w:ascii="Arial" w:hAnsi="Arial" w:cs="Arial"/>
          <w:sz w:val="24"/>
          <w:szCs w:val="24"/>
        </w:rPr>
        <w:t>3.b.ii</w:t>
      </w:r>
      <w:r w:rsidR="51E88A34" w:rsidRPr="00E553F9">
        <w:rPr>
          <w:rFonts w:ascii="Arial" w:hAnsi="Arial" w:cs="Arial"/>
          <w:sz w:val="24"/>
          <w:szCs w:val="24"/>
        </w:rPr>
        <w:t>,</w:t>
      </w:r>
      <w:r w:rsidR="623202C3" w:rsidRPr="00E553F9">
        <w:rPr>
          <w:rFonts w:ascii="Arial" w:hAnsi="Arial" w:cs="Arial"/>
          <w:sz w:val="24"/>
          <w:szCs w:val="24"/>
        </w:rPr>
        <w:t xml:space="preserve"> </w:t>
      </w:r>
      <w:r w:rsidR="583DF4D4" w:rsidRPr="00E553F9">
        <w:rPr>
          <w:rFonts w:ascii="Arial" w:hAnsi="Arial" w:cs="Arial"/>
          <w:sz w:val="24"/>
          <w:szCs w:val="24"/>
        </w:rPr>
        <w:t>t</w:t>
      </w:r>
      <w:r w:rsidR="00533B7C" w:rsidRPr="00E553F9">
        <w:rPr>
          <w:rFonts w:ascii="Arial" w:hAnsi="Arial" w:cs="Arial"/>
          <w:sz w:val="24"/>
          <w:szCs w:val="24"/>
        </w:rPr>
        <w:t xml:space="preserve">his may include development of pre-apprenticeship programs linked to a Registered Apprenticeship program or an initial development of Registered Apprenticeship programs. </w:t>
      </w:r>
    </w:p>
    <w:p w14:paraId="055CA673" w14:textId="77777777" w:rsidR="00652D27" w:rsidRDefault="00652D27" w:rsidP="00652D27">
      <w:pPr>
        <w:pStyle w:val="Default"/>
        <w:rPr>
          <w:rFonts w:ascii="Arial" w:hAnsi="Arial" w:cs="Arial"/>
          <w:b/>
        </w:rPr>
      </w:pPr>
    </w:p>
    <w:p w14:paraId="05A0B3A5" w14:textId="35833388" w:rsidR="00001CEC" w:rsidRPr="00E553F9" w:rsidRDefault="00037D48" w:rsidP="00652D27">
      <w:pPr>
        <w:pStyle w:val="Default"/>
        <w:numPr>
          <w:ilvl w:val="0"/>
          <w:numId w:val="2"/>
        </w:numPr>
        <w:ind w:left="0"/>
        <w:rPr>
          <w:rFonts w:ascii="Arial" w:hAnsi="Arial" w:cs="Arial"/>
          <w:b/>
        </w:rPr>
      </w:pPr>
      <w:r w:rsidRPr="00E553F9">
        <w:rPr>
          <w:rFonts w:ascii="Arial" w:hAnsi="Arial" w:cs="Arial"/>
          <w:b/>
        </w:rPr>
        <w:t xml:space="preserve">Are applicants expected to propose </w:t>
      </w:r>
      <w:r w:rsidR="00E23E9D" w:rsidRPr="00E553F9">
        <w:rPr>
          <w:rFonts w:ascii="Arial" w:hAnsi="Arial" w:cs="Arial"/>
          <w:b/>
        </w:rPr>
        <w:t xml:space="preserve">a </w:t>
      </w:r>
      <w:r w:rsidRPr="00E553F9">
        <w:rPr>
          <w:rFonts w:ascii="Arial" w:hAnsi="Arial" w:cs="Arial"/>
          <w:b/>
        </w:rPr>
        <w:t>project</w:t>
      </w:r>
      <w:r w:rsidR="00E23E9D" w:rsidRPr="00E553F9">
        <w:rPr>
          <w:rFonts w:ascii="Arial" w:hAnsi="Arial" w:cs="Arial"/>
          <w:b/>
        </w:rPr>
        <w:t xml:space="preserve"> that incorporates a full-scale regional sector strategy?</w:t>
      </w:r>
      <w:r w:rsidR="00001CEC" w:rsidRPr="00E553F9">
        <w:rPr>
          <w:rFonts w:ascii="Arial" w:hAnsi="Arial" w:cs="Arial"/>
          <w:b/>
        </w:rPr>
        <w:t xml:space="preserve"> </w:t>
      </w:r>
    </w:p>
    <w:p w14:paraId="7104D343" w14:textId="77777777" w:rsidR="00001CEC" w:rsidRPr="00E553F9" w:rsidRDefault="00001CEC" w:rsidP="00652D27">
      <w:pPr>
        <w:pStyle w:val="Default"/>
        <w:rPr>
          <w:rFonts w:ascii="Arial" w:hAnsi="Arial" w:cs="Arial"/>
        </w:rPr>
      </w:pPr>
    </w:p>
    <w:p w14:paraId="3FD79639" w14:textId="773041D2" w:rsidR="00F87CC7" w:rsidRPr="00E553F9" w:rsidRDefault="3C3A41C6" w:rsidP="00652D27">
      <w:pPr>
        <w:pStyle w:val="Default"/>
        <w:rPr>
          <w:rFonts w:ascii="Arial" w:hAnsi="Arial" w:cs="Arial"/>
          <w:color w:val="auto"/>
        </w:rPr>
      </w:pPr>
      <w:r w:rsidRPr="00E553F9">
        <w:rPr>
          <w:rFonts w:ascii="Arial" w:hAnsi="Arial" w:cs="Arial"/>
        </w:rPr>
        <w:t xml:space="preserve">Under </w:t>
      </w:r>
      <w:r w:rsidR="00917A1C" w:rsidRPr="00E553F9">
        <w:rPr>
          <w:rFonts w:ascii="Arial" w:hAnsi="Arial" w:cs="Arial"/>
        </w:rPr>
        <w:t>this FOA, applicants must select one to three sector(s) on which to focus</w:t>
      </w:r>
      <w:r w:rsidR="00B0352A" w:rsidRPr="00E553F9">
        <w:rPr>
          <w:rFonts w:ascii="Arial" w:hAnsi="Arial" w:cs="Arial"/>
        </w:rPr>
        <w:t xml:space="preserve"> their projects</w:t>
      </w:r>
      <w:r w:rsidR="00917A1C" w:rsidRPr="00E553F9">
        <w:rPr>
          <w:rFonts w:ascii="Arial" w:hAnsi="Arial" w:cs="Arial"/>
        </w:rPr>
        <w:t xml:space="preserve">. </w:t>
      </w:r>
      <w:r w:rsidR="007A5CAB" w:rsidRPr="00E553F9">
        <w:rPr>
          <w:rFonts w:ascii="Arial" w:hAnsi="Arial" w:cs="Arial"/>
        </w:rPr>
        <w:t xml:space="preserve">However, note that the FOA states that </w:t>
      </w:r>
      <w:r w:rsidR="00917A1C" w:rsidRPr="00E553F9">
        <w:rPr>
          <w:rFonts w:ascii="Arial" w:hAnsi="Arial" w:cs="Arial"/>
        </w:rPr>
        <w:t xml:space="preserve">DOL does </w:t>
      </w:r>
      <w:r w:rsidR="00917A1C" w:rsidRPr="00E553F9">
        <w:rPr>
          <w:rFonts w:ascii="Arial" w:hAnsi="Arial" w:cs="Arial"/>
          <w:u w:val="single"/>
        </w:rPr>
        <w:t>not</w:t>
      </w:r>
      <w:r w:rsidR="00917A1C" w:rsidRPr="00E553F9">
        <w:rPr>
          <w:rFonts w:ascii="Arial" w:hAnsi="Arial" w:cs="Arial"/>
        </w:rPr>
        <w:t xml:space="preserve"> generally expect that all NFJP applicants will lead or be part of a full-scale regional sector strategy</w:t>
      </w:r>
      <w:r w:rsidR="007A5CAB" w:rsidRPr="00E553F9">
        <w:rPr>
          <w:rFonts w:ascii="Arial" w:hAnsi="Arial" w:cs="Arial"/>
        </w:rPr>
        <w:t xml:space="preserve">. </w:t>
      </w:r>
      <w:r w:rsidR="46E74305" w:rsidRPr="00E553F9">
        <w:rPr>
          <w:rFonts w:ascii="Arial" w:hAnsi="Arial" w:cs="Arial"/>
        </w:rPr>
        <w:t>Nevertheless</w:t>
      </w:r>
      <w:r w:rsidR="007A5CAB" w:rsidRPr="00E553F9">
        <w:rPr>
          <w:rFonts w:ascii="Arial" w:hAnsi="Arial" w:cs="Arial"/>
        </w:rPr>
        <w:t>,</w:t>
      </w:r>
      <w:r w:rsidR="00917A1C" w:rsidRPr="00E553F9">
        <w:rPr>
          <w:rFonts w:ascii="Arial" w:hAnsi="Arial" w:cs="Arial"/>
        </w:rPr>
        <w:t xml:space="preserve"> this FOA requires applicants to demonstrate that they will incorporate and embed key elements of </w:t>
      </w:r>
      <w:r w:rsidR="00917A1C" w:rsidRPr="00E553F9">
        <w:rPr>
          <w:rFonts w:ascii="Arial" w:hAnsi="Arial" w:cs="Arial"/>
          <w:color w:val="auto"/>
        </w:rPr>
        <w:t>worker-centered</w:t>
      </w:r>
      <w:r w:rsidR="00917A1C" w:rsidRPr="00E553F9">
        <w:rPr>
          <w:rFonts w:ascii="Arial" w:hAnsi="Arial" w:cs="Arial"/>
        </w:rPr>
        <w:t xml:space="preserve">, sector-based training into their project design. </w:t>
      </w:r>
      <w:r w:rsidR="003719BB" w:rsidRPr="00E553F9">
        <w:rPr>
          <w:rFonts w:ascii="Arial" w:hAnsi="Arial" w:cs="Arial"/>
        </w:rPr>
        <w:t xml:space="preserve">For example, Section </w:t>
      </w:r>
      <w:r w:rsidR="003719BB" w:rsidRPr="00E553F9">
        <w:rPr>
          <w:rFonts w:ascii="Arial" w:hAnsi="Arial" w:cs="Arial"/>
          <w:color w:val="auto"/>
        </w:rPr>
        <w:t>IV.B.3.</w:t>
      </w:r>
      <w:r w:rsidR="00A43D7A" w:rsidRPr="00E553F9">
        <w:rPr>
          <w:rFonts w:ascii="Arial" w:hAnsi="Arial" w:cs="Arial"/>
          <w:color w:val="auto"/>
        </w:rPr>
        <w:t>b</w:t>
      </w:r>
      <w:r w:rsidR="003719BB" w:rsidRPr="00E553F9">
        <w:rPr>
          <w:rFonts w:ascii="Arial" w:hAnsi="Arial" w:cs="Arial"/>
          <w:color w:val="auto"/>
        </w:rPr>
        <w:t>.i</w:t>
      </w:r>
      <w:r w:rsidR="00A43D7A" w:rsidRPr="00E553F9">
        <w:rPr>
          <w:rFonts w:ascii="Arial" w:hAnsi="Arial" w:cs="Arial"/>
          <w:color w:val="auto"/>
        </w:rPr>
        <w:t xml:space="preserve">i of the FOA, titled “Worker-Centered Sector-Based Training and Employer Partnerships,” </w:t>
      </w:r>
      <w:r w:rsidR="008E7F9C" w:rsidRPr="00E553F9">
        <w:rPr>
          <w:rFonts w:ascii="Arial" w:hAnsi="Arial" w:cs="Arial"/>
          <w:color w:val="auto"/>
        </w:rPr>
        <w:t>requires</w:t>
      </w:r>
      <w:r w:rsidR="00F87CC7" w:rsidRPr="00E553F9">
        <w:rPr>
          <w:rFonts w:ascii="Arial" w:hAnsi="Arial" w:cs="Arial"/>
          <w:color w:val="auto"/>
        </w:rPr>
        <w:t>, in part,</w:t>
      </w:r>
      <w:r w:rsidR="008E7F9C" w:rsidRPr="00E553F9">
        <w:rPr>
          <w:rFonts w:ascii="Arial" w:hAnsi="Arial" w:cs="Arial"/>
          <w:color w:val="auto"/>
        </w:rPr>
        <w:t xml:space="preserve"> that applicants</w:t>
      </w:r>
      <w:r w:rsidR="00F87CC7" w:rsidRPr="00E553F9">
        <w:rPr>
          <w:rFonts w:ascii="Arial" w:hAnsi="Arial" w:cs="Arial"/>
          <w:color w:val="auto"/>
        </w:rPr>
        <w:t>:</w:t>
      </w:r>
    </w:p>
    <w:p w14:paraId="77EEF5A0" w14:textId="77777777" w:rsidR="003A612B" w:rsidRPr="00E553F9" w:rsidRDefault="00F87CC7" w:rsidP="00652D27">
      <w:pPr>
        <w:pStyle w:val="Default"/>
        <w:numPr>
          <w:ilvl w:val="0"/>
          <w:numId w:val="16"/>
        </w:numPr>
        <w:ind w:left="360"/>
        <w:rPr>
          <w:rFonts w:ascii="Arial" w:hAnsi="Arial" w:cs="Arial"/>
        </w:rPr>
      </w:pPr>
      <w:r w:rsidRPr="00E553F9">
        <w:rPr>
          <w:rFonts w:ascii="Arial" w:hAnsi="Arial" w:cs="Arial"/>
          <w:color w:val="auto"/>
        </w:rPr>
        <w:t>D</w:t>
      </w:r>
      <w:r w:rsidR="00E820A7" w:rsidRPr="00E553F9">
        <w:rPr>
          <w:rFonts w:ascii="Arial" w:hAnsi="Arial" w:cs="Arial"/>
          <w:color w:val="auto"/>
        </w:rPr>
        <w:t>escribe their plans to establish partnerships or maintain existing partnerships with at least three employers</w:t>
      </w:r>
      <w:r w:rsidR="003A612B" w:rsidRPr="00E553F9">
        <w:rPr>
          <w:rFonts w:ascii="Arial" w:hAnsi="Arial" w:cs="Arial"/>
          <w:color w:val="auto"/>
        </w:rPr>
        <w:t>;</w:t>
      </w:r>
    </w:p>
    <w:p w14:paraId="0C30E4EA" w14:textId="6D2A2D32" w:rsidR="003A612B" w:rsidRPr="00E553F9" w:rsidRDefault="003A612B" w:rsidP="00652D27">
      <w:pPr>
        <w:pStyle w:val="Default"/>
        <w:numPr>
          <w:ilvl w:val="0"/>
          <w:numId w:val="16"/>
        </w:numPr>
        <w:ind w:left="360"/>
        <w:rPr>
          <w:rFonts w:ascii="Arial" w:hAnsi="Arial" w:cs="Arial"/>
        </w:rPr>
      </w:pPr>
      <w:r w:rsidRPr="00E553F9">
        <w:rPr>
          <w:rFonts w:ascii="Arial" w:hAnsi="Arial" w:cs="Arial"/>
          <w:color w:val="auto"/>
        </w:rPr>
        <w:t>Demonstrate how they will work with the employer partners to provide input to inform the development and implementation of sector-focused career services and training that are responsive to the skill needs of employers in proposed sector(s);</w:t>
      </w:r>
      <w:r w:rsidR="00EA0FD4" w:rsidRPr="00E553F9">
        <w:rPr>
          <w:rFonts w:ascii="Arial" w:hAnsi="Arial" w:cs="Arial"/>
          <w:color w:val="auto"/>
        </w:rPr>
        <w:t xml:space="preserve"> and</w:t>
      </w:r>
    </w:p>
    <w:p w14:paraId="330DE82B" w14:textId="6BDE1C07" w:rsidR="00EA0FD4" w:rsidRPr="00E553F9" w:rsidRDefault="00EA0FD4" w:rsidP="00652D27">
      <w:pPr>
        <w:pStyle w:val="Default"/>
        <w:numPr>
          <w:ilvl w:val="0"/>
          <w:numId w:val="16"/>
        </w:numPr>
        <w:ind w:left="360"/>
        <w:rPr>
          <w:rFonts w:ascii="Arial" w:hAnsi="Arial" w:cs="Arial"/>
        </w:rPr>
      </w:pPr>
      <w:r w:rsidRPr="00E553F9">
        <w:rPr>
          <w:rFonts w:ascii="Arial" w:hAnsi="Arial" w:cs="Arial"/>
        </w:rPr>
        <w:t>Explain how those partnerships will lead to win-win outcomes for both participants and employers such as participant placement in quality jobs, livable wages for participants, meet industry demands, and address the business needs and skill needs of the employers of the local communities.</w:t>
      </w:r>
    </w:p>
    <w:p w14:paraId="0498B40A" w14:textId="1491B915" w:rsidR="00917A1C" w:rsidRPr="00E553F9" w:rsidRDefault="00B64349" w:rsidP="00652D27">
      <w:pPr>
        <w:pStyle w:val="Default"/>
        <w:ind w:left="360"/>
        <w:rPr>
          <w:rFonts w:ascii="Arial" w:hAnsi="Arial" w:cs="Arial"/>
        </w:rPr>
      </w:pPr>
      <w:r w:rsidRPr="00E553F9">
        <w:rPr>
          <w:rFonts w:ascii="Arial" w:hAnsi="Arial" w:cs="Arial"/>
        </w:rPr>
        <w:t>(Please note, these examples are provided for illustrative purposes only -- please see the FOA for full application requirements.)</w:t>
      </w:r>
    </w:p>
    <w:p w14:paraId="075D0D1F" w14:textId="77777777" w:rsidR="00B64349" w:rsidRPr="00E553F9" w:rsidRDefault="00B64349" w:rsidP="00652D27">
      <w:pPr>
        <w:pStyle w:val="Default"/>
        <w:rPr>
          <w:rFonts w:ascii="Arial" w:hAnsi="Arial" w:cs="Arial"/>
        </w:rPr>
      </w:pPr>
    </w:p>
    <w:p w14:paraId="32F14E7F" w14:textId="105629D6" w:rsidR="00001CEC" w:rsidRPr="00E553F9" w:rsidRDefault="005C30D7" w:rsidP="00652D27">
      <w:pPr>
        <w:pStyle w:val="Default"/>
        <w:rPr>
          <w:rFonts w:ascii="Arial" w:hAnsi="Arial" w:cs="Arial"/>
        </w:rPr>
      </w:pPr>
      <w:r w:rsidRPr="00E553F9">
        <w:rPr>
          <w:rFonts w:ascii="Arial" w:hAnsi="Arial" w:cs="Arial"/>
        </w:rPr>
        <w:t>As background, s</w:t>
      </w:r>
      <w:r w:rsidR="00001CEC" w:rsidRPr="00E553F9">
        <w:rPr>
          <w:rFonts w:ascii="Arial" w:hAnsi="Arial" w:cs="Arial"/>
        </w:rPr>
        <w:t>ector strategies result in good job opportunities for job seekers and address the talent needs of employers. A sector strategy is a partnership of employers within a critical industry that brings together education, economic development, workforce systems, and community</w:t>
      </w:r>
      <w:r w:rsidR="00F14461">
        <w:rPr>
          <w:rFonts w:ascii="Arial" w:hAnsi="Arial" w:cs="Arial"/>
        </w:rPr>
        <w:t xml:space="preserve"> </w:t>
      </w:r>
      <w:r w:rsidR="00001CEC" w:rsidRPr="00E553F9">
        <w:rPr>
          <w:rFonts w:ascii="Arial" w:hAnsi="Arial" w:cs="Arial"/>
        </w:rPr>
        <w:t xml:space="preserve">organizations to identify and collaboratively meet the workforce needs of that industry within a state and local labor market. </w:t>
      </w:r>
      <w:r w:rsidR="003647CE" w:rsidRPr="00E553F9">
        <w:rPr>
          <w:rFonts w:ascii="Arial" w:hAnsi="Arial" w:cs="Arial"/>
        </w:rPr>
        <w:t xml:space="preserve">As additional </w:t>
      </w:r>
      <w:r w:rsidR="003647CE" w:rsidRPr="00E553F9">
        <w:rPr>
          <w:rFonts w:ascii="Arial" w:hAnsi="Arial" w:cs="Arial"/>
        </w:rPr>
        <w:lastRenderedPageBreak/>
        <w:t xml:space="preserve">background, the FOA links to </w:t>
      </w:r>
      <w:r w:rsidR="006B19A8" w:rsidRPr="00E553F9">
        <w:rPr>
          <w:rFonts w:ascii="Arial" w:hAnsi="Arial" w:cs="Arial"/>
        </w:rPr>
        <w:t>a</w:t>
      </w:r>
      <w:r w:rsidRPr="00E553F9">
        <w:rPr>
          <w:rFonts w:ascii="Arial" w:hAnsi="Arial" w:cs="Arial"/>
        </w:rPr>
        <w:t xml:space="preserve"> </w:t>
      </w:r>
      <w:hyperlink r:id="rId11" w:history="1">
        <w:r w:rsidRPr="00E553F9">
          <w:rPr>
            <w:rStyle w:val="Hyperlink"/>
            <w:rFonts w:ascii="Arial" w:hAnsi="Arial" w:cs="Arial"/>
          </w:rPr>
          <w:t>sector strategies implementation framework</w:t>
        </w:r>
      </w:hyperlink>
      <w:r w:rsidR="003647CE" w:rsidRPr="00E553F9">
        <w:rPr>
          <w:rFonts w:ascii="Arial" w:hAnsi="Arial" w:cs="Arial"/>
          <w:color w:val="0000FF"/>
        </w:rPr>
        <w:t xml:space="preserve"> </w:t>
      </w:r>
      <w:r w:rsidR="006B19A8" w:rsidRPr="00E553F9">
        <w:rPr>
          <w:rFonts w:ascii="Arial" w:hAnsi="Arial" w:cs="Arial"/>
        </w:rPr>
        <w:t>for more information</w:t>
      </w:r>
      <w:r w:rsidRPr="00E553F9">
        <w:rPr>
          <w:rFonts w:ascii="Arial" w:hAnsi="Arial" w:cs="Arial"/>
        </w:rPr>
        <w:t>, including</w:t>
      </w:r>
      <w:r w:rsidR="006B19A8" w:rsidRPr="00E553F9">
        <w:rPr>
          <w:rFonts w:ascii="Arial" w:hAnsi="Arial" w:cs="Arial"/>
        </w:rPr>
        <w:t xml:space="preserve"> information about</w:t>
      </w:r>
      <w:r w:rsidRPr="00E553F9">
        <w:rPr>
          <w:rFonts w:ascii="Arial" w:hAnsi="Arial" w:cs="Arial"/>
        </w:rPr>
        <w:t xml:space="preserve"> sector-based service delivery.</w:t>
      </w:r>
    </w:p>
    <w:p w14:paraId="34293F94" w14:textId="06191111" w:rsidR="00CB5580" w:rsidRPr="00E553F9" w:rsidRDefault="00CB5580" w:rsidP="00652D27">
      <w:pPr>
        <w:spacing w:after="0" w:line="240" w:lineRule="auto"/>
        <w:rPr>
          <w:rFonts w:ascii="Arial" w:hAnsi="Arial" w:cs="Arial"/>
          <w:sz w:val="24"/>
          <w:szCs w:val="24"/>
        </w:rPr>
      </w:pPr>
    </w:p>
    <w:p w14:paraId="67A00360" w14:textId="65A1F4D0" w:rsidR="00493515" w:rsidRPr="00F14461" w:rsidDel="00930935" w:rsidRDefault="2C51CBF8" w:rsidP="00652D27">
      <w:pPr>
        <w:pStyle w:val="ListParagraph"/>
        <w:numPr>
          <w:ilvl w:val="0"/>
          <w:numId w:val="2"/>
        </w:numPr>
        <w:ind w:left="0"/>
        <w:rPr>
          <w:rFonts w:ascii="Arial" w:eastAsia="Calibri Light" w:hAnsi="Arial" w:cs="Arial"/>
          <w:b/>
          <w:bCs/>
          <w:sz w:val="24"/>
          <w:szCs w:val="24"/>
        </w:rPr>
      </w:pPr>
      <w:r w:rsidRPr="00F14461">
        <w:rPr>
          <w:rFonts w:ascii="Arial" w:eastAsia="Segoe UI" w:hAnsi="Arial" w:cs="Arial"/>
          <w:b/>
          <w:bCs/>
          <w:color w:val="333333"/>
          <w:sz w:val="24"/>
          <w:szCs w:val="24"/>
        </w:rPr>
        <w:t>Can applicants propose to use NFJP funds to provide training to H-2A workers?</w:t>
      </w:r>
    </w:p>
    <w:p w14:paraId="4EFC767C" w14:textId="77777777" w:rsidR="00EE66BB" w:rsidRPr="00E553F9" w:rsidRDefault="00EE66BB" w:rsidP="00652D27">
      <w:pPr>
        <w:spacing w:after="0" w:line="240" w:lineRule="auto"/>
        <w:rPr>
          <w:rFonts w:ascii="Arial" w:eastAsia="Calibri Light" w:hAnsi="Arial" w:cs="Arial"/>
          <w:sz w:val="24"/>
          <w:szCs w:val="24"/>
        </w:rPr>
      </w:pPr>
    </w:p>
    <w:p w14:paraId="79F13E3F" w14:textId="39852192" w:rsidR="00493515" w:rsidRPr="00E553F9" w:rsidDel="00930935" w:rsidRDefault="0700B34E" w:rsidP="00652D27">
      <w:pPr>
        <w:spacing w:after="0" w:line="240" w:lineRule="auto"/>
        <w:rPr>
          <w:rFonts w:ascii="Arial" w:eastAsia="Calibri Light" w:hAnsi="Arial" w:cs="Arial"/>
          <w:sz w:val="24"/>
          <w:szCs w:val="24"/>
        </w:rPr>
      </w:pPr>
      <w:r w:rsidRPr="00E553F9">
        <w:rPr>
          <w:rFonts w:ascii="Arial" w:eastAsia="Calibri Light" w:hAnsi="Arial" w:cs="Arial"/>
          <w:sz w:val="24"/>
          <w:szCs w:val="24"/>
        </w:rPr>
        <w:t>No.</w:t>
      </w:r>
      <w:r w:rsidR="76E2A1FD" w:rsidRPr="00E553F9">
        <w:rPr>
          <w:rFonts w:ascii="Arial" w:eastAsia="Calibri Light" w:hAnsi="Arial" w:cs="Arial"/>
          <w:sz w:val="24"/>
          <w:szCs w:val="24"/>
        </w:rPr>
        <w:t xml:space="preserve"> </w:t>
      </w:r>
      <w:r w:rsidR="2E6CBD02" w:rsidRPr="00E553F9">
        <w:rPr>
          <w:rFonts w:ascii="Arial" w:eastAsia="Calibri Light" w:hAnsi="Arial" w:cs="Arial"/>
          <w:sz w:val="24"/>
          <w:szCs w:val="24"/>
        </w:rPr>
        <w:t xml:space="preserve">H-2A workers are not eligible to receive </w:t>
      </w:r>
      <w:r w:rsidR="00841220" w:rsidRPr="00E553F9">
        <w:rPr>
          <w:rFonts w:ascii="Arial" w:eastAsia="Calibri Light" w:hAnsi="Arial" w:cs="Arial"/>
          <w:sz w:val="24"/>
          <w:szCs w:val="24"/>
        </w:rPr>
        <w:t xml:space="preserve"> training and some other services as explained in TEGL </w:t>
      </w:r>
      <w:r w:rsidR="007F5BC4" w:rsidRPr="00E553F9">
        <w:rPr>
          <w:rFonts w:ascii="Arial" w:eastAsia="Calibri Light" w:hAnsi="Arial" w:cs="Arial"/>
          <w:sz w:val="24"/>
          <w:szCs w:val="24"/>
        </w:rPr>
        <w:t>10-23,</w:t>
      </w:r>
      <w:r w:rsidR="00841220" w:rsidRPr="00E553F9">
        <w:rPr>
          <w:rFonts w:ascii="Arial" w:eastAsia="Calibri Light" w:hAnsi="Arial" w:cs="Arial"/>
          <w:sz w:val="24"/>
          <w:szCs w:val="24"/>
        </w:rPr>
        <w:t xml:space="preserve"> </w:t>
      </w:r>
      <w:r w:rsidR="00841220" w:rsidRPr="00E553F9">
        <w:rPr>
          <w:rFonts w:ascii="Arial" w:eastAsia="Calibri Light" w:hAnsi="Arial" w:cs="Arial"/>
          <w:i/>
          <w:iCs/>
          <w:sz w:val="24"/>
          <w:szCs w:val="24"/>
        </w:rPr>
        <w:t>Reducing Administrative Barriers to Improve Customer Experience in Grant Programs Administered by the Employment and Training Administration</w:t>
      </w:r>
      <w:r w:rsidR="2E6CBD02" w:rsidRPr="00E553F9">
        <w:rPr>
          <w:rFonts w:ascii="Arial" w:eastAsia="Calibri Light" w:hAnsi="Arial" w:cs="Arial"/>
          <w:sz w:val="24"/>
          <w:szCs w:val="24"/>
        </w:rPr>
        <w:t xml:space="preserve">. </w:t>
      </w:r>
      <w:r w:rsidR="18F66F78" w:rsidRPr="00E553F9">
        <w:rPr>
          <w:rFonts w:ascii="Arial" w:eastAsia="Calibri Light" w:hAnsi="Arial" w:cs="Arial"/>
          <w:sz w:val="24"/>
          <w:szCs w:val="24"/>
        </w:rPr>
        <w:t>Applicants</w:t>
      </w:r>
      <w:r w:rsidR="718D591D" w:rsidRPr="00E553F9">
        <w:rPr>
          <w:rFonts w:ascii="Arial" w:eastAsia="Calibri Light" w:hAnsi="Arial" w:cs="Arial"/>
          <w:sz w:val="24"/>
          <w:szCs w:val="24"/>
        </w:rPr>
        <w:t xml:space="preserve"> who</w:t>
      </w:r>
      <w:r w:rsidR="18F66F78" w:rsidRPr="00E553F9">
        <w:rPr>
          <w:rFonts w:ascii="Arial" w:eastAsia="Calibri Light" w:hAnsi="Arial" w:cs="Arial"/>
          <w:sz w:val="24"/>
          <w:szCs w:val="24"/>
        </w:rPr>
        <w:t xml:space="preserve"> propose project designs for the agricultural sector must commit to helping agricultural employers in the U.S. recruit, hire, and train agricultural workers who are available in the local area for good jobs and, when necessary, leverage the </w:t>
      </w:r>
      <w:hyperlink r:id="rId12" w:history="1">
        <w:r w:rsidR="18F66F78" w:rsidRPr="00F14461">
          <w:rPr>
            <w:rStyle w:val="Hyperlink"/>
            <w:rFonts w:ascii="Arial" w:eastAsia="Calibri Light" w:hAnsi="Arial" w:cs="Arial"/>
            <w:sz w:val="24"/>
            <w:szCs w:val="24"/>
          </w:rPr>
          <w:t>Agricultural Recruitment System</w:t>
        </w:r>
      </w:hyperlink>
      <w:r w:rsidR="18F66F78" w:rsidRPr="00E553F9">
        <w:rPr>
          <w:rFonts w:ascii="Arial" w:eastAsia="Calibri Light" w:hAnsi="Arial" w:cs="Arial"/>
          <w:sz w:val="24"/>
          <w:szCs w:val="24"/>
        </w:rPr>
        <w:t xml:space="preserve">. The Agricultural Recruitment System is a part of the Wagner-Peyser Employment Service. Through the Agricultural Recruitment System, State Workforce Agencies can recruit and refer qualified </w:t>
      </w:r>
      <w:r w:rsidR="658EF83D" w:rsidRPr="00E553F9">
        <w:rPr>
          <w:rFonts w:ascii="Arial" w:eastAsia="Calibri Light" w:hAnsi="Arial" w:cs="Arial"/>
          <w:sz w:val="24"/>
          <w:szCs w:val="24"/>
        </w:rPr>
        <w:t xml:space="preserve">U.S. </w:t>
      </w:r>
      <w:r w:rsidR="18F66F78" w:rsidRPr="00E553F9">
        <w:rPr>
          <w:rFonts w:ascii="Arial" w:eastAsia="Calibri Light" w:hAnsi="Arial" w:cs="Arial"/>
          <w:sz w:val="24"/>
          <w:szCs w:val="24"/>
        </w:rPr>
        <w:t xml:space="preserve">workers from within a state and from other states when they anticipate that there are less agricultural workers available than needed in the local area. </w:t>
      </w:r>
      <w:r w:rsidR="773294C4" w:rsidRPr="00E553F9">
        <w:rPr>
          <w:rFonts w:ascii="Arial" w:eastAsia="Calibri Light" w:hAnsi="Arial" w:cs="Arial"/>
          <w:sz w:val="24"/>
          <w:szCs w:val="24"/>
        </w:rPr>
        <w:t xml:space="preserve">The State Monitor Advocate is responsible to conduct an ongoing review of the delivery of services and protections </w:t>
      </w:r>
      <w:r w:rsidR="773D5561" w:rsidRPr="00E553F9">
        <w:rPr>
          <w:rFonts w:ascii="Arial" w:eastAsia="Calibri Light" w:hAnsi="Arial" w:cs="Arial"/>
          <w:sz w:val="24"/>
          <w:szCs w:val="24"/>
        </w:rPr>
        <w:t xml:space="preserve">to migrant and seasonal farmworkers </w:t>
      </w:r>
      <w:r w:rsidR="773294C4" w:rsidRPr="00E553F9">
        <w:rPr>
          <w:rFonts w:ascii="Arial" w:eastAsia="Calibri Light" w:hAnsi="Arial" w:cs="Arial"/>
          <w:sz w:val="24"/>
          <w:szCs w:val="24"/>
        </w:rPr>
        <w:t xml:space="preserve">afforded by the Wagner-Peyser Employment Service regulations. To better deliver services to migrant and seasonal farmworkers, WIOA regulations call for collaboration between SMAs and NFJP grantees, including that SMAs establish MOUs with NFJP grantees. Applicants must describe what they have done already to develop this partnership with the SMA. Explain how applicants will use this partnership to benefit its delivery of NFJP services and respond to the needs of migrant and seasonal farmworkers and their dependents. </w:t>
      </w:r>
      <w:r w:rsidR="0C9ABF72" w:rsidRPr="00E553F9">
        <w:rPr>
          <w:rFonts w:ascii="Arial" w:eastAsia="Calibri Light" w:hAnsi="Arial" w:cs="Arial"/>
          <w:sz w:val="24"/>
          <w:szCs w:val="24"/>
        </w:rPr>
        <w:t>To learn about NFJP eligibility requirements, s</w:t>
      </w:r>
      <w:r w:rsidR="18F66F78" w:rsidRPr="00E553F9">
        <w:rPr>
          <w:rFonts w:ascii="Arial" w:eastAsia="Calibri Light" w:hAnsi="Arial" w:cs="Arial"/>
          <w:sz w:val="24"/>
          <w:szCs w:val="24"/>
        </w:rPr>
        <w:t xml:space="preserve">ee </w:t>
      </w:r>
      <w:hyperlink r:id="rId13" w:history="1">
        <w:r w:rsidR="18F66F78" w:rsidRPr="00F14461">
          <w:rPr>
            <w:rStyle w:val="Hyperlink"/>
            <w:rFonts w:ascii="Arial" w:eastAsia="Calibri Light" w:hAnsi="Arial" w:cs="Arial"/>
            <w:sz w:val="24"/>
            <w:szCs w:val="24"/>
          </w:rPr>
          <w:t>TEGL No. 18-16, Change 1</w:t>
        </w:r>
      </w:hyperlink>
      <w:r w:rsidR="18F66F78" w:rsidRPr="00E553F9">
        <w:rPr>
          <w:rFonts w:ascii="Arial" w:eastAsia="Calibri Light" w:hAnsi="Arial" w:cs="Arial"/>
          <w:color w:val="0000FF"/>
          <w:sz w:val="24"/>
          <w:szCs w:val="24"/>
        </w:rPr>
        <w:t xml:space="preserve"> </w:t>
      </w:r>
      <w:r w:rsidR="18F66F78" w:rsidRPr="00E553F9">
        <w:rPr>
          <w:rFonts w:ascii="Arial" w:eastAsia="Calibri Light" w:hAnsi="Arial" w:cs="Arial"/>
          <w:sz w:val="24"/>
          <w:szCs w:val="24"/>
        </w:rPr>
        <w:t>or in successive guidance.</w:t>
      </w:r>
      <w:r w:rsidR="762E6E34" w:rsidRPr="00E553F9">
        <w:rPr>
          <w:rFonts w:ascii="Arial" w:eastAsia="Calibri Light" w:hAnsi="Arial" w:cs="Arial"/>
          <w:sz w:val="24"/>
          <w:szCs w:val="24"/>
        </w:rPr>
        <w:t xml:space="preserve"> Information about the MOU between State Monitor Advocates and NFJP grant recipients is available in </w:t>
      </w:r>
      <w:hyperlink r:id="rId14" w:history="1">
        <w:r w:rsidR="762E6E34" w:rsidRPr="00F14461">
          <w:rPr>
            <w:rStyle w:val="Hyperlink"/>
            <w:rFonts w:ascii="Arial" w:eastAsia="Calibri Light" w:hAnsi="Arial" w:cs="Arial"/>
            <w:sz w:val="24"/>
            <w:szCs w:val="24"/>
          </w:rPr>
          <w:t>TEGL</w:t>
        </w:r>
        <w:r w:rsidR="637EDD2A" w:rsidRPr="00F14461">
          <w:rPr>
            <w:rStyle w:val="Hyperlink"/>
            <w:rFonts w:ascii="Arial" w:eastAsia="Calibri Light" w:hAnsi="Arial" w:cs="Arial"/>
            <w:sz w:val="24"/>
            <w:szCs w:val="24"/>
          </w:rPr>
          <w:t xml:space="preserve"> No. 08-17</w:t>
        </w:r>
      </w:hyperlink>
      <w:r w:rsidR="637EDD2A" w:rsidRPr="00E553F9">
        <w:rPr>
          <w:rFonts w:ascii="Arial" w:eastAsia="Calibri Light" w:hAnsi="Arial" w:cs="Arial"/>
          <w:sz w:val="24"/>
          <w:szCs w:val="24"/>
        </w:rPr>
        <w:t>.</w:t>
      </w:r>
    </w:p>
    <w:p w14:paraId="7AB6E91E" w14:textId="04762211" w:rsidR="00BE2DC3" w:rsidRDefault="00BE2DC3">
      <w:pPr>
        <w:rPr>
          <w:rFonts w:ascii="Arial" w:hAnsi="Arial" w:cs="Arial"/>
          <w:sz w:val="24"/>
          <w:szCs w:val="24"/>
        </w:rPr>
      </w:pPr>
    </w:p>
    <w:p w14:paraId="34C78F3C" w14:textId="14D8D40D" w:rsidR="00220E69" w:rsidRPr="00220E69" w:rsidRDefault="00220E69" w:rsidP="00220E69">
      <w:pPr>
        <w:pStyle w:val="ListParagraph"/>
        <w:numPr>
          <w:ilvl w:val="0"/>
          <w:numId w:val="2"/>
        </w:numPr>
        <w:ind w:left="0"/>
        <w:rPr>
          <w:rFonts w:ascii="Arial" w:eastAsia="Segoe UI" w:hAnsi="Arial" w:cs="Arial"/>
          <w:b/>
          <w:bCs/>
          <w:color w:val="333333"/>
          <w:sz w:val="24"/>
          <w:szCs w:val="24"/>
        </w:rPr>
      </w:pPr>
      <w:r w:rsidRPr="00220E69">
        <w:rPr>
          <w:rFonts w:ascii="Arial" w:eastAsia="Segoe UI" w:hAnsi="Arial" w:cs="Arial"/>
          <w:b/>
          <w:bCs/>
          <w:color w:val="333333"/>
          <w:sz w:val="24"/>
          <w:szCs w:val="24"/>
        </w:rPr>
        <w:t xml:space="preserve">Will there be a prospective applicant webcast for </w:t>
      </w:r>
      <w:r>
        <w:rPr>
          <w:rFonts w:ascii="Arial" w:eastAsia="Segoe UI" w:hAnsi="Arial" w:cs="Arial"/>
          <w:b/>
          <w:bCs/>
          <w:color w:val="333333"/>
          <w:sz w:val="24"/>
          <w:szCs w:val="24"/>
        </w:rPr>
        <w:t>this FOA?</w:t>
      </w:r>
      <w:r w:rsidRPr="00220E69">
        <w:rPr>
          <w:rFonts w:ascii="Arial" w:eastAsia="Segoe UI" w:hAnsi="Arial" w:cs="Arial"/>
          <w:b/>
          <w:bCs/>
          <w:color w:val="333333"/>
          <w:sz w:val="24"/>
          <w:szCs w:val="24"/>
        </w:rPr>
        <w:t xml:space="preserve"> </w:t>
      </w:r>
    </w:p>
    <w:p w14:paraId="05E5E19E" w14:textId="77777777" w:rsidR="00220E69" w:rsidRPr="00220E69" w:rsidRDefault="00220E69" w:rsidP="00220E69">
      <w:pPr>
        <w:autoSpaceDE w:val="0"/>
        <w:autoSpaceDN w:val="0"/>
        <w:adjustRightInd w:val="0"/>
        <w:spacing w:after="0" w:line="240" w:lineRule="auto"/>
        <w:rPr>
          <w:rFonts w:ascii="Calibri" w:hAnsi="Calibri" w:cs="Calibri"/>
          <w:color w:val="000000"/>
          <w:sz w:val="23"/>
          <w:szCs w:val="23"/>
        </w:rPr>
      </w:pPr>
    </w:p>
    <w:p w14:paraId="66CEB9ED" w14:textId="60093BF7" w:rsidR="00220E69" w:rsidRPr="00220E69" w:rsidRDefault="00220E69" w:rsidP="00220E69">
      <w:pPr>
        <w:autoSpaceDE w:val="0"/>
        <w:autoSpaceDN w:val="0"/>
        <w:adjustRightInd w:val="0"/>
        <w:spacing w:after="0" w:line="240" w:lineRule="auto"/>
        <w:rPr>
          <w:rFonts w:ascii="Arial" w:eastAsia="Calibri Light" w:hAnsi="Arial" w:cs="Arial"/>
          <w:sz w:val="24"/>
          <w:szCs w:val="24"/>
        </w:rPr>
      </w:pPr>
      <w:r w:rsidRPr="00220E69">
        <w:rPr>
          <w:rFonts w:ascii="Arial" w:eastAsia="Calibri Light" w:hAnsi="Arial" w:cs="Arial"/>
          <w:sz w:val="24"/>
          <w:szCs w:val="24"/>
        </w:rPr>
        <w:t xml:space="preserve">Yes. On </w:t>
      </w:r>
      <w:r>
        <w:rPr>
          <w:rFonts w:ascii="Arial" w:eastAsia="Calibri Light" w:hAnsi="Arial" w:cs="Arial"/>
          <w:sz w:val="24"/>
          <w:szCs w:val="24"/>
        </w:rPr>
        <w:t>April 4</w:t>
      </w:r>
      <w:r w:rsidR="00275F16">
        <w:rPr>
          <w:rFonts w:ascii="Arial" w:eastAsia="Calibri Light" w:hAnsi="Arial" w:cs="Arial"/>
          <w:sz w:val="24"/>
          <w:szCs w:val="24"/>
        </w:rPr>
        <w:t>,</w:t>
      </w:r>
      <w:r>
        <w:rPr>
          <w:rFonts w:ascii="Arial" w:eastAsia="Calibri Light" w:hAnsi="Arial" w:cs="Arial"/>
          <w:sz w:val="24"/>
          <w:szCs w:val="24"/>
        </w:rPr>
        <w:t xml:space="preserve"> 2024, </w:t>
      </w:r>
      <w:r w:rsidRPr="00220E69">
        <w:rPr>
          <w:rFonts w:ascii="Arial" w:eastAsia="Calibri Light" w:hAnsi="Arial" w:cs="Arial"/>
          <w:sz w:val="24"/>
          <w:szCs w:val="24"/>
        </w:rPr>
        <w:t xml:space="preserve">the Department published </w:t>
      </w:r>
      <w:r>
        <w:rPr>
          <w:rFonts w:ascii="Arial" w:eastAsia="Calibri Light" w:hAnsi="Arial" w:cs="Arial"/>
          <w:sz w:val="24"/>
          <w:szCs w:val="24"/>
        </w:rPr>
        <w:t>a</w:t>
      </w:r>
      <w:r w:rsidRPr="00220E69">
        <w:rPr>
          <w:rFonts w:ascii="Arial" w:eastAsia="Calibri Light" w:hAnsi="Arial" w:cs="Arial"/>
          <w:sz w:val="24"/>
          <w:szCs w:val="24"/>
        </w:rPr>
        <w:t xml:space="preserve"> prospective applicant webcast on WorkforceGPS at: </w:t>
      </w:r>
      <w:hyperlink r:id="rId15" w:history="1">
        <w:r w:rsidRPr="00220E69">
          <w:rPr>
            <w:rStyle w:val="Hyperlink"/>
            <w:rFonts w:ascii="Arial" w:eastAsia="Calibri Light" w:hAnsi="Arial" w:cs="Arial"/>
            <w:sz w:val="24"/>
            <w:szCs w:val="24"/>
          </w:rPr>
          <w:t>WorkforceGPS - Prospective A</w:t>
        </w:r>
        <w:r w:rsidRPr="00220E69">
          <w:rPr>
            <w:rStyle w:val="Hyperlink"/>
            <w:rFonts w:ascii="Arial" w:eastAsia="Calibri Light" w:hAnsi="Arial" w:cs="Arial"/>
            <w:sz w:val="24"/>
            <w:szCs w:val="24"/>
          </w:rPr>
          <w:t>p</w:t>
        </w:r>
        <w:r w:rsidRPr="00220E69">
          <w:rPr>
            <w:rStyle w:val="Hyperlink"/>
            <w:rFonts w:ascii="Arial" w:eastAsia="Calibri Light" w:hAnsi="Arial" w:cs="Arial"/>
            <w:sz w:val="24"/>
            <w:szCs w:val="24"/>
          </w:rPr>
          <w:t>plicant Webcast - National Farmworker Jobs Program, Career Services and Training Grant</w:t>
        </w:r>
      </w:hyperlink>
      <w:r>
        <w:rPr>
          <w:rFonts w:ascii="Arial" w:eastAsia="Calibri Light" w:hAnsi="Arial" w:cs="Arial"/>
          <w:sz w:val="24"/>
          <w:szCs w:val="24"/>
        </w:rPr>
        <w:t xml:space="preserve">.  </w:t>
      </w:r>
      <w:r w:rsidRPr="00220E69">
        <w:rPr>
          <w:rFonts w:ascii="Arial" w:eastAsia="Calibri Light" w:hAnsi="Arial" w:cs="Arial"/>
          <w:sz w:val="24"/>
          <w:szCs w:val="24"/>
        </w:rPr>
        <w:t xml:space="preserve">This is a pre-recorded event </w:t>
      </w:r>
      <w:r w:rsidR="00275F16">
        <w:rPr>
          <w:rFonts w:ascii="Arial" w:eastAsia="Calibri Light" w:hAnsi="Arial" w:cs="Arial"/>
          <w:sz w:val="24"/>
          <w:szCs w:val="24"/>
        </w:rPr>
        <w:t xml:space="preserve">viewable </w:t>
      </w:r>
      <w:r w:rsidRPr="00220E69">
        <w:rPr>
          <w:rFonts w:ascii="Arial" w:eastAsia="Calibri Light" w:hAnsi="Arial" w:cs="Arial"/>
          <w:sz w:val="24"/>
          <w:szCs w:val="24"/>
        </w:rPr>
        <w:t xml:space="preserve">at any time. A transcript is available. </w:t>
      </w:r>
    </w:p>
    <w:p w14:paraId="0CDFDF92" w14:textId="77777777" w:rsidR="00220E69" w:rsidRPr="00220E69" w:rsidRDefault="00220E69" w:rsidP="00220E69">
      <w:pPr>
        <w:pStyle w:val="ListParagraph"/>
        <w:autoSpaceDE w:val="0"/>
        <w:autoSpaceDN w:val="0"/>
        <w:adjustRightInd w:val="0"/>
        <w:ind w:left="0"/>
        <w:rPr>
          <w:color w:val="000000"/>
          <w:sz w:val="23"/>
          <w:szCs w:val="23"/>
        </w:rPr>
      </w:pPr>
    </w:p>
    <w:p w14:paraId="1615C66A" w14:textId="40987943" w:rsidR="00275F16" w:rsidRPr="00275F16" w:rsidRDefault="00220E69" w:rsidP="006371A0">
      <w:pPr>
        <w:pStyle w:val="ListParagraph"/>
        <w:numPr>
          <w:ilvl w:val="0"/>
          <w:numId w:val="2"/>
        </w:numPr>
        <w:autoSpaceDE w:val="0"/>
        <w:autoSpaceDN w:val="0"/>
        <w:adjustRightInd w:val="0"/>
        <w:spacing w:after="240"/>
        <w:ind w:left="0"/>
        <w:rPr>
          <w:rFonts w:ascii="Arial" w:eastAsia="Calibri Light" w:hAnsi="Arial" w:cs="Arial"/>
          <w:sz w:val="24"/>
          <w:szCs w:val="24"/>
        </w:rPr>
      </w:pPr>
      <w:r w:rsidRPr="00275F16">
        <w:rPr>
          <w:rFonts w:ascii="Arial" w:eastAsia="Segoe UI" w:hAnsi="Arial" w:cs="Arial"/>
          <w:b/>
          <w:bCs/>
          <w:color w:val="333333"/>
          <w:sz w:val="24"/>
          <w:szCs w:val="24"/>
        </w:rPr>
        <w:t>Who can I contact for additional information?</w:t>
      </w:r>
      <w:r w:rsidRPr="00220E69">
        <w:rPr>
          <w:b/>
          <w:bCs/>
          <w:color w:val="000000"/>
          <w:sz w:val="23"/>
          <w:szCs w:val="23"/>
        </w:rPr>
        <w:t xml:space="preserve"> </w:t>
      </w:r>
    </w:p>
    <w:p w14:paraId="2C13D6D6" w14:textId="467A8DE0" w:rsidR="00220E69" w:rsidRPr="00220E69" w:rsidRDefault="00220E69" w:rsidP="00220E69">
      <w:pPr>
        <w:rPr>
          <w:rFonts w:ascii="Arial" w:eastAsia="Calibri Light" w:hAnsi="Arial" w:cs="Arial"/>
          <w:sz w:val="24"/>
          <w:szCs w:val="24"/>
        </w:rPr>
      </w:pPr>
      <w:r w:rsidRPr="00220E69">
        <w:rPr>
          <w:rFonts w:ascii="Arial" w:eastAsia="Calibri Light" w:hAnsi="Arial" w:cs="Arial"/>
          <w:sz w:val="24"/>
          <w:szCs w:val="24"/>
        </w:rPr>
        <w:t xml:space="preserve">For further information about this FOA, please </w:t>
      </w:r>
      <w:r w:rsidR="00275F16">
        <w:rPr>
          <w:rFonts w:ascii="Arial" w:eastAsia="Calibri Light" w:hAnsi="Arial" w:cs="Arial"/>
          <w:sz w:val="24"/>
          <w:szCs w:val="24"/>
        </w:rPr>
        <w:t>email</w:t>
      </w:r>
      <w:r w:rsidRPr="00220E69">
        <w:rPr>
          <w:rFonts w:ascii="Arial" w:eastAsia="Calibri Light" w:hAnsi="Arial" w:cs="Arial"/>
          <w:sz w:val="24"/>
          <w:szCs w:val="24"/>
        </w:rPr>
        <w:t xml:space="preserve"> </w:t>
      </w:r>
      <w:hyperlink r:id="rId16" w:history="1">
        <w:r w:rsidRPr="000C0822">
          <w:rPr>
            <w:rStyle w:val="Hyperlink"/>
            <w:rFonts w:ascii="Arial" w:eastAsia="Calibri Light" w:hAnsi="Arial" w:cs="Arial"/>
            <w:sz w:val="24"/>
            <w:szCs w:val="24"/>
          </w:rPr>
          <w:t>NFJP.OGM@dol.gov</w:t>
        </w:r>
      </w:hyperlink>
      <w:r>
        <w:rPr>
          <w:rFonts w:ascii="Arial" w:eastAsia="Calibri Light" w:hAnsi="Arial" w:cs="Arial"/>
          <w:sz w:val="24"/>
          <w:szCs w:val="24"/>
        </w:rPr>
        <w:t xml:space="preserve">.  </w:t>
      </w:r>
      <w:r w:rsidRPr="00220E69">
        <w:rPr>
          <w:rFonts w:ascii="Arial" w:eastAsia="Calibri Light" w:hAnsi="Arial" w:cs="Arial"/>
          <w:sz w:val="24"/>
          <w:szCs w:val="24"/>
        </w:rPr>
        <w:t>Applicants must specifically reference FOA-ETA-</w:t>
      </w:r>
      <w:r w:rsidR="00275F16">
        <w:rPr>
          <w:rFonts w:ascii="Arial" w:eastAsia="Calibri Light" w:hAnsi="Arial" w:cs="Arial"/>
          <w:sz w:val="24"/>
          <w:szCs w:val="24"/>
        </w:rPr>
        <w:t>24-15</w:t>
      </w:r>
      <w:r w:rsidRPr="00220E69">
        <w:rPr>
          <w:rFonts w:ascii="Arial" w:eastAsia="Calibri Light" w:hAnsi="Arial" w:cs="Arial"/>
          <w:sz w:val="24"/>
          <w:szCs w:val="24"/>
        </w:rPr>
        <w:t xml:space="preserve">, and along with question(s), include a contact name and phone number. </w:t>
      </w:r>
    </w:p>
    <w:sectPr w:rsidR="00220E69" w:rsidRPr="00220E6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05A7" w14:textId="77777777" w:rsidR="00CA2DD2" w:rsidRDefault="00CA2DD2" w:rsidP="00F14461">
      <w:pPr>
        <w:spacing w:after="0" w:line="240" w:lineRule="auto"/>
      </w:pPr>
      <w:r>
        <w:separator/>
      </w:r>
    </w:p>
  </w:endnote>
  <w:endnote w:type="continuationSeparator" w:id="0">
    <w:p w14:paraId="51A3B3C3" w14:textId="77777777" w:rsidR="00CA2DD2" w:rsidRDefault="00CA2DD2" w:rsidP="00F1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175448"/>
      <w:docPartObj>
        <w:docPartGallery w:val="Page Numbers (Bottom of Page)"/>
        <w:docPartUnique/>
      </w:docPartObj>
    </w:sdtPr>
    <w:sdtEndPr>
      <w:rPr>
        <w:noProof/>
      </w:rPr>
    </w:sdtEndPr>
    <w:sdtContent>
      <w:p w14:paraId="390357DA" w14:textId="14CA3A2E" w:rsidR="00F14461" w:rsidRDefault="00F144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E460C7" w14:textId="77777777" w:rsidR="00F14461" w:rsidRDefault="00F1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89FD4" w14:textId="77777777" w:rsidR="00CA2DD2" w:rsidRDefault="00CA2DD2" w:rsidP="00F14461">
      <w:pPr>
        <w:spacing w:after="0" w:line="240" w:lineRule="auto"/>
      </w:pPr>
      <w:r>
        <w:separator/>
      </w:r>
    </w:p>
  </w:footnote>
  <w:footnote w:type="continuationSeparator" w:id="0">
    <w:p w14:paraId="48B4AC46" w14:textId="77777777" w:rsidR="00CA2DD2" w:rsidRDefault="00CA2DD2" w:rsidP="00F14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1005B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1ED7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BC50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FFFFFFFF"/>
    <w:lvl w:ilvl="0">
      <w:numFmt w:val="bullet"/>
      <w:lvlText w:val=""/>
      <w:lvlJc w:val="left"/>
      <w:pPr>
        <w:ind w:left="1440" w:hanging="360"/>
      </w:pPr>
      <w:rPr>
        <w:rFonts w:ascii="Symbol" w:hAnsi="Symbol" w:cs="Symbol"/>
        <w:b w:val="0"/>
        <w:bCs w:val="0"/>
        <w:i w:val="0"/>
        <w:iCs w:val="0"/>
        <w:spacing w:val="0"/>
        <w:w w:val="100"/>
        <w:sz w:val="24"/>
        <w:szCs w:val="24"/>
      </w:rPr>
    </w:lvl>
    <w:lvl w:ilvl="1">
      <w:numFmt w:val="bullet"/>
      <w:lvlText w:val="•"/>
      <w:lvlJc w:val="left"/>
      <w:pPr>
        <w:ind w:left="2304" w:hanging="360"/>
      </w:pPr>
    </w:lvl>
    <w:lvl w:ilvl="2">
      <w:numFmt w:val="bullet"/>
      <w:lvlText w:val="•"/>
      <w:lvlJc w:val="left"/>
      <w:pPr>
        <w:ind w:left="3168" w:hanging="360"/>
      </w:pPr>
    </w:lvl>
    <w:lvl w:ilvl="3">
      <w:numFmt w:val="bullet"/>
      <w:lvlText w:val="•"/>
      <w:lvlJc w:val="left"/>
      <w:pPr>
        <w:ind w:left="4032" w:hanging="360"/>
      </w:pPr>
    </w:lvl>
    <w:lvl w:ilvl="4">
      <w:numFmt w:val="bullet"/>
      <w:lvlText w:val="•"/>
      <w:lvlJc w:val="left"/>
      <w:pPr>
        <w:ind w:left="4896" w:hanging="360"/>
      </w:pPr>
    </w:lvl>
    <w:lvl w:ilvl="5">
      <w:numFmt w:val="bullet"/>
      <w:lvlText w:val="•"/>
      <w:lvlJc w:val="left"/>
      <w:pPr>
        <w:ind w:left="5760" w:hanging="360"/>
      </w:pPr>
    </w:lvl>
    <w:lvl w:ilvl="6">
      <w:numFmt w:val="bullet"/>
      <w:lvlText w:val="•"/>
      <w:lvlJc w:val="left"/>
      <w:pPr>
        <w:ind w:left="6624" w:hanging="360"/>
      </w:pPr>
    </w:lvl>
    <w:lvl w:ilvl="7">
      <w:numFmt w:val="bullet"/>
      <w:lvlText w:val="•"/>
      <w:lvlJc w:val="left"/>
      <w:pPr>
        <w:ind w:left="7488" w:hanging="360"/>
      </w:pPr>
    </w:lvl>
    <w:lvl w:ilvl="8">
      <w:numFmt w:val="bullet"/>
      <w:lvlText w:val="•"/>
      <w:lvlJc w:val="left"/>
      <w:pPr>
        <w:ind w:left="8352" w:hanging="360"/>
      </w:pPr>
    </w:lvl>
  </w:abstractNum>
  <w:abstractNum w:abstractNumId="4" w15:restartNumberingAfterBreak="0">
    <w:nsid w:val="0FE73C2A"/>
    <w:multiLevelType w:val="hybridMultilevel"/>
    <w:tmpl w:val="6A5A5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5D5EAE"/>
    <w:multiLevelType w:val="hybridMultilevel"/>
    <w:tmpl w:val="31B43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800977"/>
    <w:multiLevelType w:val="hybridMultilevel"/>
    <w:tmpl w:val="11926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AE2FC9"/>
    <w:multiLevelType w:val="hybridMultilevel"/>
    <w:tmpl w:val="F468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E0326"/>
    <w:multiLevelType w:val="hybridMultilevel"/>
    <w:tmpl w:val="FFFFFFFF"/>
    <w:lvl w:ilvl="0" w:tplc="3A1CCE96">
      <w:start w:val="1"/>
      <w:numFmt w:val="bullet"/>
      <w:lvlText w:val=""/>
      <w:lvlJc w:val="left"/>
      <w:pPr>
        <w:ind w:left="720" w:hanging="360"/>
      </w:pPr>
      <w:rPr>
        <w:rFonts w:ascii="Symbol" w:hAnsi="Symbol" w:hint="default"/>
      </w:rPr>
    </w:lvl>
    <w:lvl w:ilvl="1" w:tplc="02025B24">
      <w:start w:val="1"/>
      <w:numFmt w:val="bullet"/>
      <w:lvlText w:val="o"/>
      <w:lvlJc w:val="left"/>
      <w:pPr>
        <w:ind w:left="1440" w:hanging="360"/>
      </w:pPr>
      <w:rPr>
        <w:rFonts w:ascii="Courier New" w:hAnsi="Courier New" w:hint="default"/>
      </w:rPr>
    </w:lvl>
    <w:lvl w:ilvl="2" w:tplc="D124DE72">
      <w:start w:val="1"/>
      <w:numFmt w:val="bullet"/>
      <w:lvlText w:val=""/>
      <w:lvlJc w:val="left"/>
      <w:pPr>
        <w:ind w:left="2160" w:hanging="360"/>
      </w:pPr>
      <w:rPr>
        <w:rFonts w:ascii="Wingdings" w:hAnsi="Wingdings" w:hint="default"/>
      </w:rPr>
    </w:lvl>
    <w:lvl w:ilvl="3" w:tplc="42564684">
      <w:start w:val="1"/>
      <w:numFmt w:val="bullet"/>
      <w:lvlText w:val=""/>
      <w:lvlJc w:val="left"/>
      <w:pPr>
        <w:ind w:left="2880" w:hanging="360"/>
      </w:pPr>
      <w:rPr>
        <w:rFonts w:ascii="Symbol" w:hAnsi="Symbol" w:hint="default"/>
      </w:rPr>
    </w:lvl>
    <w:lvl w:ilvl="4" w:tplc="C57A7598">
      <w:start w:val="1"/>
      <w:numFmt w:val="bullet"/>
      <w:lvlText w:val="o"/>
      <w:lvlJc w:val="left"/>
      <w:pPr>
        <w:ind w:left="3600" w:hanging="360"/>
      </w:pPr>
      <w:rPr>
        <w:rFonts w:ascii="Courier New" w:hAnsi="Courier New" w:hint="default"/>
      </w:rPr>
    </w:lvl>
    <w:lvl w:ilvl="5" w:tplc="DA2451F0">
      <w:start w:val="1"/>
      <w:numFmt w:val="bullet"/>
      <w:lvlText w:val=""/>
      <w:lvlJc w:val="left"/>
      <w:pPr>
        <w:ind w:left="4320" w:hanging="360"/>
      </w:pPr>
      <w:rPr>
        <w:rFonts w:ascii="Wingdings" w:hAnsi="Wingdings" w:hint="default"/>
      </w:rPr>
    </w:lvl>
    <w:lvl w:ilvl="6" w:tplc="B7502A94">
      <w:start w:val="1"/>
      <w:numFmt w:val="bullet"/>
      <w:lvlText w:val=""/>
      <w:lvlJc w:val="left"/>
      <w:pPr>
        <w:ind w:left="5040" w:hanging="360"/>
      </w:pPr>
      <w:rPr>
        <w:rFonts w:ascii="Symbol" w:hAnsi="Symbol" w:hint="default"/>
      </w:rPr>
    </w:lvl>
    <w:lvl w:ilvl="7" w:tplc="DEBEC6E2">
      <w:start w:val="1"/>
      <w:numFmt w:val="bullet"/>
      <w:lvlText w:val="o"/>
      <w:lvlJc w:val="left"/>
      <w:pPr>
        <w:ind w:left="5760" w:hanging="360"/>
      </w:pPr>
      <w:rPr>
        <w:rFonts w:ascii="Courier New" w:hAnsi="Courier New" w:hint="default"/>
      </w:rPr>
    </w:lvl>
    <w:lvl w:ilvl="8" w:tplc="79B6C430">
      <w:start w:val="1"/>
      <w:numFmt w:val="bullet"/>
      <w:lvlText w:val=""/>
      <w:lvlJc w:val="left"/>
      <w:pPr>
        <w:ind w:left="6480" w:hanging="360"/>
      </w:pPr>
      <w:rPr>
        <w:rFonts w:ascii="Wingdings" w:hAnsi="Wingdings" w:hint="default"/>
      </w:rPr>
    </w:lvl>
  </w:abstractNum>
  <w:abstractNum w:abstractNumId="9" w15:restartNumberingAfterBreak="0">
    <w:nsid w:val="4790160B"/>
    <w:multiLevelType w:val="hybridMultilevel"/>
    <w:tmpl w:val="A492E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916B41"/>
    <w:multiLevelType w:val="hybridMultilevel"/>
    <w:tmpl w:val="04687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F265CF"/>
    <w:multiLevelType w:val="hybridMultilevel"/>
    <w:tmpl w:val="FFFFFFFF"/>
    <w:lvl w:ilvl="0" w:tplc="9AA65C12">
      <w:start w:val="1"/>
      <w:numFmt w:val="bullet"/>
      <w:lvlText w:val=""/>
      <w:lvlJc w:val="left"/>
      <w:pPr>
        <w:ind w:left="720" w:hanging="360"/>
      </w:pPr>
      <w:rPr>
        <w:rFonts w:ascii="Symbol" w:hAnsi="Symbol" w:hint="default"/>
      </w:rPr>
    </w:lvl>
    <w:lvl w:ilvl="1" w:tplc="849CFBEA">
      <w:start w:val="1"/>
      <w:numFmt w:val="bullet"/>
      <w:lvlText w:val="o"/>
      <w:lvlJc w:val="left"/>
      <w:pPr>
        <w:ind w:left="1440" w:hanging="360"/>
      </w:pPr>
      <w:rPr>
        <w:rFonts w:ascii="Courier New" w:hAnsi="Courier New" w:hint="default"/>
      </w:rPr>
    </w:lvl>
    <w:lvl w:ilvl="2" w:tplc="D2A8FD0C">
      <w:start w:val="1"/>
      <w:numFmt w:val="bullet"/>
      <w:lvlText w:val=""/>
      <w:lvlJc w:val="left"/>
      <w:pPr>
        <w:ind w:left="2160" w:hanging="360"/>
      </w:pPr>
      <w:rPr>
        <w:rFonts w:ascii="Wingdings" w:hAnsi="Wingdings" w:hint="default"/>
      </w:rPr>
    </w:lvl>
    <w:lvl w:ilvl="3" w:tplc="45982B68">
      <w:start w:val="1"/>
      <w:numFmt w:val="bullet"/>
      <w:lvlText w:val=""/>
      <w:lvlJc w:val="left"/>
      <w:pPr>
        <w:ind w:left="2880" w:hanging="360"/>
      </w:pPr>
      <w:rPr>
        <w:rFonts w:ascii="Symbol" w:hAnsi="Symbol" w:hint="default"/>
      </w:rPr>
    </w:lvl>
    <w:lvl w:ilvl="4" w:tplc="A66CF7D4">
      <w:start w:val="1"/>
      <w:numFmt w:val="bullet"/>
      <w:lvlText w:val="o"/>
      <w:lvlJc w:val="left"/>
      <w:pPr>
        <w:ind w:left="3600" w:hanging="360"/>
      </w:pPr>
      <w:rPr>
        <w:rFonts w:ascii="Courier New" w:hAnsi="Courier New" w:hint="default"/>
      </w:rPr>
    </w:lvl>
    <w:lvl w:ilvl="5" w:tplc="208037E8">
      <w:start w:val="1"/>
      <w:numFmt w:val="bullet"/>
      <w:lvlText w:val=""/>
      <w:lvlJc w:val="left"/>
      <w:pPr>
        <w:ind w:left="4320" w:hanging="360"/>
      </w:pPr>
      <w:rPr>
        <w:rFonts w:ascii="Wingdings" w:hAnsi="Wingdings" w:hint="default"/>
      </w:rPr>
    </w:lvl>
    <w:lvl w:ilvl="6" w:tplc="18549524">
      <w:start w:val="1"/>
      <w:numFmt w:val="bullet"/>
      <w:lvlText w:val=""/>
      <w:lvlJc w:val="left"/>
      <w:pPr>
        <w:ind w:left="5040" w:hanging="360"/>
      </w:pPr>
      <w:rPr>
        <w:rFonts w:ascii="Symbol" w:hAnsi="Symbol" w:hint="default"/>
      </w:rPr>
    </w:lvl>
    <w:lvl w:ilvl="7" w:tplc="2E6AE69E">
      <w:start w:val="1"/>
      <w:numFmt w:val="bullet"/>
      <w:lvlText w:val="o"/>
      <w:lvlJc w:val="left"/>
      <w:pPr>
        <w:ind w:left="5760" w:hanging="360"/>
      </w:pPr>
      <w:rPr>
        <w:rFonts w:ascii="Courier New" w:hAnsi="Courier New" w:hint="default"/>
      </w:rPr>
    </w:lvl>
    <w:lvl w:ilvl="8" w:tplc="B9EE889E">
      <w:start w:val="1"/>
      <w:numFmt w:val="bullet"/>
      <w:lvlText w:val=""/>
      <w:lvlJc w:val="left"/>
      <w:pPr>
        <w:ind w:left="6480" w:hanging="360"/>
      </w:pPr>
      <w:rPr>
        <w:rFonts w:ascii="Wingdings" w:hAnsi="Wingdings" w:hint="default"/>
      </w:rPr>
    </w:lvl>
  </w:abstractNum>
  <w:abstractNum w:abstractNumId="12" w15:restartNumberingAfterBreak="0">
    <w:nsid w:val="6127A13A"/>
    <w:multiLevelType w:val="hybridMultilevel"/>
    <w:tmpl w:val="FFFFFFFF"/>
    <w:lvl w:ilvl="0" w:tplc="A10A7356">
      <w:start w:val="1"/>
      <w:numFmt w:val="bullet"/>
      <w:lvlText w:val=""/>
      <w:lvlJc w:val="left"/>
      <w:pPr>
        <w:ind w:left="720" w:hanging="360"/>
      </w:pPr>
      <w:rPr>
        <w:rFonts w:ascii="Symbol" w:hAnsi="Symbol" w:hint="default"/>
      </w:rPr>
    </w:lvl>
    <w:lvl w:ilvl="1" w:tplc="43905168">
      <w:start w:val="1"/>
      <w:numFmt w:val="bullet"/>
      <w:lvlText w:val="o"/>
      <w:lvlJc w:val="left"/>
      <w:pPr>
        <w:ind w:left="1440" w:hanging="360"/>
      </w:pPr>
      <w:rPr>
        <w:rFonts w:ascii="Courier New" w:hAnsi="Courier New" w:hint="default"/>
      </w:rPr>
    </w:lvl>
    <w:lvl w:ilvl="2" w:tplc="609837DC">
      <w:start w:val="1"/>
      <w:numFmt w:val="bullet"/>
      <w:lvlText w:val=""/>
      <w:lvlJc w:val="left"/>
      <w:pPr>
        <w:ind w:left="2160" w:hanging="360"/>
      </w:pPr>
      <w:rPr>
        <w:rFonts w:ascii="Wingdings" w:hAnsi="Wingdings" w:hint="default"/>
      </w:rPr>
    </w:lvl>
    <w:lvl w:ilvl="3" w:tplc="86609018">
      <w:start w:val="1"/>
      <w:numFmt w:val="bullet"/>
      <w:lvlText w:val=""/>
      <w:lvlJc w:val="left"/>
      <w:pPr>
        <w:ind w:left="2880" w:hanging="360"/>
      </w:pPr>
      <w:rPr>
        <w:rFonts w:ascii="Symbol" w:hAnsi="Symbol" w:hint="default"/>
      </w:rPr>
    </w:lvl>
    <w:lvl w:ilvl="4" w:tplc="529A42AC">
      <w:start w:val="1"/>
      <w:numFmt w:val="bullet"/>
      <w:lvlText w:val="o"/>
      <w:lvlJc w:val="left"/>
      <w:pPr>
        <w:ind w:left="3600" w:hanging="360"/>
      </w:pPr>
      <w:rPr>
        <w:rFonts w:ascii="Courier New" w:hAnsi="Courier New" w:hint="default"/>
      </w:rPr>
    </w:lvl>
    <w:lvl w:ilvl="5" w:tplc="4686E4DA">
      <w:start w:val="1"/>
      <w:numFmt w:val="bullet"/>
      <w:lvlText w:val=""/>
      <w:lvlJc w:val="left"/>
      <w:pPr>
        <w:ind w:left="4320" w:hanging="360"/>
      </w:pPr>
      <w:rPr>
        <w:rFonts w:ascii="Wingdings" w:hAnsi="Wingdings" w:hint="default"/>
      </w:rPr>
    </w:lvl>
    <w:lvl w:ilvl="6" w:tplc="1DD0F7DC">
      <w:start w:val="1"/>
      <w:numFmt w:val="bullet"/>
      <w:lvlText w:val=""/>
      <w:lvlJc w:val="left"/>
      <w:pPr>
        <w:ind w:left="5040" w:hanging="360"/>
      </w:pPr>
      <w:rPr>
        <w:rFonts w:ascii="Symbol" w:hAnsi="Symbol" w:hint="default"/>
      </w:rPr>
    </w:lvl>
    <w:lvl w:ilvl="7" w:tplc="7512CA04">
      <w:start w:val="1"/>
      <w:numFmt w:val="bullet"/>
      <w:lvlText w:val="o"/>
      <w:lvlJc w:val="left"/>
      <w:pPr>
        <w:ind w:left="5760" w:hanging="360"/>
      </w:pPr>
      <w:rPr>
        <w:rFonts w:ascii="Courier New" w:hAnsi="Courier New" w:hint="default"/>
      </w:rPr>
    </w:lvl>
    <w:lvl w:ilvl="8" w:tplc="74F0886E">
      <w:start w:val="1"/>
      <w:numFmt w:val="bullet"/>
      <w:lvlText w:val=""/>
      <w:lvlJc w:val="left"/>
      <w:pPr>
        <w:ind w:left="6480" w:hanging="360"/>
      </w:pPr>
      <w:rPr>
        <w:rFonts w:ascii="Wingdings" w:hAnsi="Wingdings" w:hint="default"/>
      </w:rPr>
    </w:lvl>
  </w:abstractNum>
  <w:abstractNum w:abstractNumId="13" w15:restartNumberingAfterBreak="0">
    <w:nsid w:val="61B148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6273189"/>
    <w:multiLevelType w:val="hybridMultilevel"/>
    <w:tmpl w:val="2CCA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B1966"/>
    <w:multiLevelType w:val="hybridMultilevel"/>
    <w:tmpl w:val="89BC9938"/>
    <w:lvl w:ilvl="0" w:tplc="A3E86866">
      <w:start w:val="1"/>
      <w:numFmt w:val="decimal"/>
      <w:lvlText w:val="%1."/>
      <w:lvlJc w:val="left"/>
      <w:pPr>
        <w:ind w:left="360" w:hanging="360"/>
      </w:pPr>
      <w:rPr>
        <w:rFonts w:asciiTheme="minorHAnsi" w:eastAsiaTheme="minorHAnsi" w:hAnsiTheme="minorHAnsi" w:cstheme="minorHAnsi" w:hint="default"/>
        <w:b/>
        <w:bCs/>
        <w:sz w:val="22"/>
        <w:szCs w:val="22"/>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68750871">
    <w:abstractNumId w:val="9"/>
  </w:num>
  <w:num w:numId="2" w16cid:durableId="751318282">
    <w:abstractNumId w:val="15"/>
  </w:num>
  <w:num w:numId="3" w16cid:durableId="1529442143">
    <w:abstractNumId w:val="13"/>
  </w:num>
  <w:num w:numId="4" w16cid:durableId="2099863506">
    <w:abstractNumId w:val="3"/>
  </w:num>
  <w:num w:numId="5" w16cid:durableId="941255609">
    <w:abstractNumId w:val="0"/>
  </w:num>
  <w:num w:numId="6" w16cid:durableId="1715498773">
    <w:abstractNumId w:val="1"/>
  </w:num>
  <w:num w:numId="7" w16cid:durableId="384990441">
    <w:abstractNumId w:val="10"/>
  </w:num>
  <w:num w:numId="8" w16cid:durableId="563491274">
    <w:abstractNumId w:val="6"/>
  </w:num>
  <w:num w:numId="9" w16cid:durableId="619651690">
    <w:abstractNumId w:val="5"/>
  </w:num>
  <w:num w:numId="10" w16cid:durableId="1989901092">
    <w:abstractNumId w:val="5"/>
  </w:num>
  <w:num w:numId="11" w16cid:durableId="390351099">
    <w:abstractNumId w:val="4"/>
  </w:num>
  <w:num w:numId="12" w16cid:durableId="863175129">
    <w:abstractNumId w:val="7"/>
  </w:num>
  <w:num w:numId="13" w16cid:durableId="1592618618">
    <w:abstractNumId w:val="6"/>
  </w:num>
  <w:num w:numId="14" w16cid:durableId="60566568">
    <w:abstractNumId w:val="5"/>
  </w:num>
  <w:num w:numId="15" w16cid:durableId="24720610">
    <w:abstractNumId w:val="2"/>
  </w:num>
  <w:num w:numId="16" w16cid:durableId="259457269">
    <w:abstractNumId w:val="14"/>
  </w:num>
  <w:num w:numId="17" w16cid:durableId="1749963070">
    <w:abstractNumId w:val="11"/>
  </w:num>
  <w:num w:numId="18" w16cid:durableId="1073970686">
    <w:abstractNumId w:val="8"/>
  </w:num>
  <w:num w:numId="19" w16cid:durableId="1806924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EE"/>
    <w:rsid w:val="0000097E"/>
    <w:rsid w:val="00001CEC"/>
    <w:rsid w:val="00004A69"/>
    <w:rsid w:val="00004B37"/>
    <w:rsid w:val="00007718"/>
    <w:rsid w:val="0002287A"/>
    <w:rsid w:val="00031D32"/>
    <w:rsid w:val="000327CD"/>
    <w:rsid w:val="000328C6"/>
    <w:rsid w:val="00034FF3"/>
    <w:rsid w:val="00037D48"/>
    <w:rsid w:val="00060F8B"/>
    <w:rsid w:val="0006318E"/>
    <w:rsid w:val="00064A39"/>
    <w:rsid w:val="0006646A"/>
    <w:rsid w:val="00066A16"/>
    <w:rsid w:val="000708B6"/>
    <w:rsid w:val="00070C66"/>
    <w:rsid w:val="000710D5"/>
    <w:rsid w:val="00072D40"/>
    <w:rsid w:val="00075BAC"/>
    <w:rsid w:val="00084FB4"/>
    <w:rsid w:val="00087697"/>
    <w:rsid w:val="00091086"/>
    <w:rsid w:val="000A42B4"/>
    <w:rsid w:val="000A4D92"/>
    <w:rsid w:val="000A73E7"/>
    <w:rsid w:val="000B0D49"/>
    <w:rsid w:val="000B5022"/>
    <w:rsid w:val="000B72C9"/>
    <w:rsid w:val="000C05A7"/>
    <w:rsid w:val="000C31B1"/>
    <w:rsid w:val="000C3C73"/>
    <w:rsid w:val="000C57AB"/>
    <w:rsid w:val="000C6928"/>
    <w:rsid w:val="000C6DCE"/>
    <w:rsid w:val="000D28E8"/>
    <w:rsid w:val="000D3AB8"/>
    <w:rsid w:val="000D61D0"/>
    <w:rsid w:val="000D6CB5"/>
    <w:rsid w:val="000E26B2"/>
    <w:rsid w:val="000F208B"/>
    <w:rsid w:val="00104527"/>
    <w:rsid w:val="00106636"/>
    <w:rsid w:val="001107E4"/>
    <w:rsid w:val="00111D0F"/>
    <w:rsid w:val="00115558"/>
    <w:rsid w:val="00124999"/>
    <w:rsid w:val="0012633F"/>
    <w:rsid w:val="00130D72"/>
    <w:rsid w:val="00133218"/>
    <w:rsid w:val="00136087"/>
    <w:rsid w:val="00140775"/>
    <w:rsid w:val="0014336E"/>
    <w:rsid w:val="00147FB7"/>
    <w:rsid w:val="0015073D"/>
    <w:rsid w:val="00160A0D"/>
    <w:rsid w:val="001622FB"/>
    <w:rsid w:val="00180544"/>
    <w:rsid w:val="0018265F"/>
    <w:rsid w:val="00183FBD"/>
    <w:rsid w:val="00184A4B"/>
    <w:rsid w:val="00193D27"/>
    <w:rsid w:val="00194330"/>
    <w:rsid w:val="00194D67"/>
    <w:rsid w:val="00197F6A"/>
    <w:rsid w:val="001A2E58"/>
    <w:rsid w:val="001B03FD"/>
    <w:rsid w:val="001B0627"/>
    <w:rsid w:val="001B1663"/>
    <w:rsid w:val="001B6D08"/>
    <w:rsid w:val="001C3016"/>
    <w:rsid w:val="001D00F6"/>
    <w:rsid w:val="001D110D"/>
    <w:rsid w:val="001D2106"/>
    <w:rsid w:val="001D2490"/>
    <w:rsid w:val="001D61BD"/>
    <w:rsid w:val="001E3C58"/>
    <w:rsid w:val="001E7C52"/>
    <w:rsid w:val="001F0CCD"/>
    <w:rsid w:val="001F2BA6"/>
    <w:rsid w:val="001F7372"/>
    <w:rsid w:val="001F7FFE"/>
    <w:rsid w:val="00200788"/>
    <w:rsid w:val="00200994"/>
    <w:rsid w:val="0020319B"/>
    <w:rsid w:val="00203721"/>
    <w:rsid w:val="00204571"/>
    <w:rsid w:val="0020596E"/>
    <w:rsid w:val="002069B6"/>
    <w:rsid w:val="002073ED"/>
    <w:rsid w:val="00207EB0"/>
    <w:rsid w:val="002126AB"/>
    <w:rsid w:val="00213731"/>
    <w:rsid w:val="00220E69"/>
    <w:rsid w:val="002211B8"/>
    <w:rsid w:val="00221483"/>
    <w:rsid w:val="00224FD1"/>
    <w:rsid w:val="002343DE"/>
    <w:rsid w:val="00234AE4"/>
    <w:rsid w:val="0024136C"/>
    <w:rsid w:val="00243227"/>
    <w:rsid w:val="002532DC"/>
    <w:rsid w:val="00262E80"/>
    <w:rsid w:val="00263650"/>
    <w:rsid w:val="002703FF"/>
    <w:rsid w:val="0027167C"/>
    <w:rsid w:val="00275F16"/>
    <w:rsid w:val="00276B88"/>
    <w:rsid w:val="00277764"/>
    <w:rsid w:val="00282C7F"/>
    <w:rsid w:val="002933C7"/>
    <w:rsid w:val="00294573"/>
    <w:rsid w:val="00297BE8"/>
    <w:rsid w:val="002A1676"/>
    <w:rsid w:val="002A6F42"/>
    <w:rsid w:val="002B09B5"/>
    <w:rsid w:val="002B2919"/>
    <w:rsid w:val="002B3FB5"/>
    <w:rsid w:val="002B4573"/>
    <w:rsid w:val="002C21CE"/>
    <w:rsid w:val="002C2E12"/>
    <w:rsid w:val="002C71FD"/>
    <w:rsid w:val="002D188A"/>
    <w:rsid w:val="002D482A"/>
    <w:rsid w:val="002E01E4"/>
    <w:rsid w:val="002E0DD3"/>
    <w:rsid w:val="002E309F"/>
    <w:rsid w:val="002E35E0"/>
    <w:rsid w:val="002E5565"/>
    <w:rsid w:val="002E7558"/>
    <w:rsid w:val="002F452E"/>
    <w:rsid w:val="00301B1F"/>
    <w:rsid w:val="00307DD8"/>
    <w:rsid w:val="00314ABD"/>
    <w:rsid w:val="00315DF2"/>
    <w:rsid w:val="0032231A"/>
    <w:rsid w:val="00324121"/>
    <w:rsid w:val="003333FC"/>
    <w:rsid w:val="003334E5"/>
    <w:rsid w:val="003356F2"/>
    <w:rsid w:val="00350729"/>
    <w:rsid w:val="00350C96"/>
    <w:rsid w:val="0035350E"/>
    <w:rsid w:val="003647CE"/>
    <w:rsid w:val="00364E4B"/>
    <w:rsid w:val="003663A1"/>
    <w:rsid w:val="003706D3"/>
    <w:rsid w:val="003719BB"/>
    <w:rsid w:val="00372BC0"/>
    <w:rsid w:val="00383183"/>
    <w:rsid w:val="00384330"/>
    <w:rsid w:val="0039686D"/>
    <w:rsid w:val="003A4407"/>
    <w:rsid w:val="003A5BB9"/>
    <w:rsid w:val="003A612B"/>
    <w:rsid w:val="003B02CB"/>
    <w:rsid w:val="003B2EC1"/>
    <w:rsid w:val="003B486B"/>
    <w:rsid w:val="003C4A45"/>
    <w:rsid w:val="003C58C2"/>
    <w:rsid w:val="003C616C"/>
    <w:rsid w:val="003D5C51"/>
    <w:rsid w:val="003E148C"/>
    <w:rsid w:val="003E1547"/>
    <w:rsid w:val="003E361B"/>
    <w:rsid w:val="003E7513"/>
    <w:rsid w:val="003F3A34"/>
    <w:rsid w:val="003F44BC"/>
    <w:rsid w:val="003F4E66"/>
    <w:rsid w:val="003F72B0"/>
    <w:rsid w:val="00402451"/>
    <w:rsid w:val="0040730D"/>
    <w:rsid w:val="00417392"/>
    <w:rsid w:val="00423AA2"/>
    <w:rsid w:val="0043372A"/>
    <w:rsid w:val="0043615D"/>
    <w:rsid w:val="00443051"/>
    <w:rsid w:val="00443423"/>
    <w:rsid w:val="0044769F"/>
    <w:rsid w:val="004527DA"/>
    <w:rsid w:val="004543E3"/>
    <w:rsid w:val="004569A1"/>
    <w:rsid w:val="00457D68"/>
    <w:rsid w:val="00465B3E"/>
    <w:rsid w:val="00481B58"/>
    <w:rsid w:val="00486420"/>
    <w:rsid w:val="004867D0"/>
    <w:rsid w:val="00492598"/>
    <w:rsid w:val="00493515"/>
    <w:rsid w:val="0049447A"/>
    <w:rsid w:val="0049608F"/>
    <w:rsid w:val="004A18FA"/>
    <w:rsid w:val="004A347B"/>
    <w:rsid w:val="004A79BB"/>
    <w:rsid w:val="004B3EB7"/>
    <w:rsid w:val="004B7096"/>
    <w:rsid w:val="004C7837"/>
    <w:rsid w:val="004C7E0A"/>
    <w:rsid w:val="004D4454"/>
    <w:rsid w:val="004D483A"/>
    <w:rsid w:val="004D70CD"/>
    <w:rsid w:val="004E20A3"/>
    <w:rsid w:val="004F15E5"/>
    <w:rsid w:val="004F4E0B"/>
    <w:rsid w:val="004F4FE9"/>
    <w:rsid w:val="00502808"/>
    <w:rsid w:val="0050656C"/>
    <w:rsid w:val="00507C63"/>
    <w:rsid w:val="0051264C"/>
    <w:rsid w:val="00524186"/>
    <w:rsid w:val="00526195"/>
    <w:rsid w:val="00527653"/>
    <w:rsid w:val="00533B7C"/>
    <w:rsid w:val="00542166"/>
    <w:rsid w:val="005444D0"/>
    <w:rsid w:val="005450C3"/>
    <w:rsid w:val="00551466"/>
    <w:rsid w:val="00574153"/>
    <w:rsid w:val="00580C5B"/>
    <w:rsid w:val="0059065D"/>
    <w:rsid w:val="00595692"/>
    <w:rsid w:val="00596E16"/>
    <w:rsid w:val="005A2D6F"/>
    <w:rsid w:val="005A473C"/>
    <w:rsid w:val="005A56BF"/>
    <w:rsid w:val="005A607F"/>
    <w:rsid w:val="005B232A"/>
    <w:rsid w:val="005B3AE8"/>
    <w:rsid w:val="005B5EEF"/>
    <w:rsid w:val="005B67A1"/>
    <w:rsid w:val="005C1797"/>
    <w:rsid w:val="005C2E51"/>
    <w:rsid w:val="005C30D7"/>
    <w:rsid w:val="005D2504"/>
    <w:rsid w:val="005D2D6C"/>
    <w:rsid w:val="005D75E5"/>
    <w:rsid w:val="005E31D7"/>
    <w:rsid w:val="005E3720"/>
    <w:rsid w:val="005E5AAC"/>
    <w:rsid w:val="005E6633"/>
    <w:rsid w:val="005E67CD"/>
    <w:rsid w:val="005F1292"/>
    <w:rsid w:val="00601602"/>
    <w:rsid w:val="00603B7A"/>
    <w:rsid w:val="006050B1"/>
    <w:rsid w:val="0060598A"/>
    <w:rsid w:val="00615E4B"/>
    <w:rsid w:val="0062217E"/>
    <w:rsid w:val="00626A5E"/>
    <w:rsid w:val="00627F9B"/>
    <w:rsid w:val="00630599"/>
    <w:rsid w:val="00634374"/>
    <w:rsid w:val="00636BA4"/>
    <w:rsid w:val="00637BA5"/>
    <w:rsid w:val="00646FEB"/>
    <w:rsid w:val="00652D27"/>
    <w:rsid w:val="00663DD0"/>
    <w:rsid w:val="00666586"/>
    <w:rsid w:val="00666ECB"/>
    <w:rsid w:val="00672C7C"/>
    <w:rsid w:val="00673A5C"/>
    <w:rsid w:val="00673E0A"/>
    <w:rsid w:val="00685A7B"/>
    <w:rsid w:val="00690586"/>
    <w:rsid w:val="006950C6"/>
    <w:rsid w:val="006A0BAC"/>
    <w:rsid w:val="006A2BC6"/>
    <w:rsid w:val="006A6EAA"/>
    <w:rsid w:val="006A7EAA"/>
    <w:rsid w:val="006B03FB"/>
    <w:rsid w:val="006B19A8"/>
    <w:rsid w:val="006B5F42"/>
    <w:rsid w:val="006B68A6"/>
    <w:rsid w:val="006B79A0"/>
    <w:rsid w:val="006C123B"/>
    <w:rsid w:val="006C2AED"/>
    <w:rsid w:val="006C4031"/>
    <w:rsid w:val="006C526C"/>
    <w:rsid w:val="006C65C9"/>
    <w:rsid w:val="006C74FC"/>
    <w:rsid w:val="006D3468"/>
    <w:rsid w:val="006D41F9"/>
    <w:rsid w:val="006E1D44"/>
    <w:rsid w:val="006E31A5"/>
    <w:rsid w:val="006E7432"/>
    <w:rsid w:val="006F22AB"/>
    <w:rsid w:val="006F3354"/>
    <w:rsid w:val="007027A7"/>
    <w:rsid w:val="00702C43"/>
    <w:rsid w:val="00703D00"/>
    <w:rsid w:val="00703FC6"/>
    <w:rsid w:val="007042F0"/>
    <w:rsid w:val="00707B4E"/>
    <w:rsid w:val="00711EBF"/>
    <w:rsid w:val="00717610"/>
    <w:rsid w:val="0071AC7F"/>
    <w:rsid w:val="0072514A"/>
    <w:rsid w:val="00731D68"/>
    <w:rsid w:val="00734E17"/>
    <w:rsid w:val="007457DC"/>
    <w:rsid w:val="00754526"/>
    <w:rsid w:val="00754D0B"/>
    <w:rsid w:val="00755ED9"/>
    <w:rsid w:val="00760310"/>
    <w:rsid w:val="00760FE8"/>
    <w:rsid w:val="00762510"/>
    <w:rsid w:val="007639DC"/>
    <w:rsid w:val="00764AEA"/>
    <w:rsid w:val="007709A4"/>
    <w:rsid w:val="00775B80"/>
    <w:rsid w:val="0077618D"/>
    <w:rsid w:val="00786AB1"/>
    <w:rsid w:val="00787DD7"/>
    <w:rsid w:val="007A1625"/>
    <w:rsid w:val="007A1E0C"/>
    <w:rsid w:val="007A3E41"/>
    <w:rsid w:val="007A5982"/>
    <w:rsid w:val="007A5BD3"/>
    <w:rsid w:val="007A5CAB"/>
    <w:rsid w:val="007B075D"/>
    <w:rsid w:val="007B094A"/>
    <w:rsid w:val="007B7B94"/>
    <w:rsid w:val="007C3267"/>
    <w:rsid w:val="007D423B"/>
    <w:rsid w:val="007D7D94"/>
    <w:rsid w:val="007E2EC7"/>
    <w:rsid w:val="007E5A99"/>
    <w:rsid w:val="007E6E8F"/>
    <w:rsid w:val="007F0BF2"/>
    <w:rsid w:val="007F475A"/>
    <w:rsid w:val="007F5BC4"/>
    <w:rsid w:val="008003D5"/>
    <w:rsid w:val="008064F3"/>
    <w:rsid w:val="00810B31"/>
    <w:rsid w:val="008110DC"/>
    <w:rsid w:val="008209F4"/>
    <w:rsid w:val="008235CB"/>
    <w:rsid w:val="00824685"/>
    <w:rsid w:val="0083026C"/>
    <w:rsid w:val="00834F9C"/>
    <w:rsid w:val="0083519C"/>
    <w:rsid w:val="00836CD8"/>
    <w:rsid w:val="00841220"/>
    <w:rsid w:val="0084255D"/>
    <w:rsid w:val="008479BB"/>
    <w:rsid w:val="0085152C"/>
    <w:rsid w:val="00857A0B"/>
    <w:rsid w:val="0086313D"/>
    <w:rsid w:val="0086414C"/>
    <w:rsid w:val="008745CD"/>
    <w:rsid w:val="008808A2"/>
    <w:rsid w:val="008858FC"/>
    <w:rsid w:val="00887571"/>
    <w:rsid w:val="00890561"/>
    <w:rsid w:val="00892F2F"/>
    <w:rsid w:val="008956A3"/>
    <w:rsid w:val="008A092A"/>
    <w:rsid w:val="008A4580"/>
    <w:rsid w:val="008B284F"/>
    <w:rsid w:val="008B7EB6"/>
    <w:rsid w:val="008C7FF5"/>
    <w:rsid w:val="008D1592"/>
    <w:rsid w:val="008D5459"/>
    <w:rsid w:val="008D5DA9"/>
    <w:rsid w:val="008E019C"/>
    <w:rsid w:val="008E0437"/>
    <w:rsid w:val="008E113A"/>
    <w:rsid w:val="008E2209"/>
    <w:rsid w:val="008E7F9C"/>
    <w:rsid w:val="008F39A9"/>
    <w:rsid w:val="008F4235"/>
    <w:rsid w:val="00906062"/>
    <w:rsid w:val="00907007"/>
    <w:rsid w:val="00914032"/>
    <w:rsid w:val="0091483A"/>
    <w:rsid w:val="00914CE4"/>
    <w:rsid w:val="00917040"/>
    <w:rsid w:val="0091775F"/>
    <w:rsid w:val="00917A1C"/>
    <w:rsid w:val="00920FEE"/>
    <w:rsid w:val="00922A94"/>
    <w:rsid w:val="009276B3"/>
    <w:rsid w:val="00930935"/>
    <w:rsid w:val="009326E0"/>
    <w:rsid w:val="00943686"/>
    <w:rsid w:val="00944696"/>
    <w:rsid w:val="009522AA"/>
    <w:rsid w:val="009525E7"/>
    <w:rsid w:val="00956FC5"/>
    <w:rsid w:val="009621D4"/>
    <w:rsid w:val="009643FD"/>
    <w:rsid w:val="009722A0"/>
    <w:rsid w:val="0097444D"/>
    <w:rsid w:val="00974CAD"/>
    <w:rsid w:val="009801CB"/>
    <w:rsid w:val="00980732"/>
    <w:rsid w:val="00980CF2"/>
    <w:rsid w:val="00981CF4"/>
    <w:rsid w:val="00982941"/>
    <w:rsid w:val="0099768F"/>
    <w:rsid w:val="009A1053"/>
    <w:rsid w:val="009A4A4A"/>
    <w:rsid w:val="009A63EE"/>
    <w:rsid w:val="009B13B9"/>
    <w:rsid w:val="009C44EA"/>
    <w:rsid w:val="009C73D4"/>
    <w:rsid w:val="009E39E2"/>
    <w:rsid w:val="009E6412"/>
    <w:rsid w:val="009E70C4"/>
    <w:rsid w:val="009F316C"/>
    <w:rsid w:val="00A044AB"/>
    <w:rsid w:val="00A07C22"/>
    <w:rsid w:val="00A10C55"/>
    <w:rsid w:val="00A12F3D"/>
    <w:rsid w:val="00A20574"/>
    <w:rsid w:val="00A368D6"/>
    <w:rsid w:val="00A36F4F"/>
    <w:rsid w:val="00A43D7A"/>
    <w:rsid w:val="00A50618"/>
    <w:rsid w:val="00A52505"/>
    <w:rsid w:val="00A55AE2"/>
    <w:rsid w:val="00A6155B"/>
    <w:rsid w:val="00A63610"/>
    <w:rsid w:val="00A64C73"/>
    <w:rsid w:val="00A71EC3"/>
    <w:rsid w:val="00A735FC"/>
    <w:rsid w:val="00A75294"/>
    <w:rsid w:val="00A80F43"/>
    <w:rsid w:val="00A81767"/>
    <w:rsid w:val="00A95447"/>
    <w:rsid w:val="00AA14FF"/>
    <w:rsid w:val="00AA1CE3"/>
    <w:rsid w:val="00AB5BC9"/>
    <w:rsid w:val="00AC2220"/>
    <w:rsid w:val="00AC7713"/>
    <w:rsid w:val="00AD1A26"/>
    <w:rsid w:val="00AD2BBE"/>
    <w:rsid w:val="00AD576F"/>
    <w:rsid w:val="00AE3965"/>
    <w:rsid w:val="00AE4AB2"/>
    <w:rsid w:val="00AF30D8"/>
    <w:rsid w:val="00B00CD5"/>
    <w:rsid w:val="00B0352A"/>
    <w:rsid w:val="00B03919"/>
    <w:rsid w:val="00B03F38"/>
    <w:rsid w:val="00B11255"/>
    <w:rsid w:val="00B117EB"/>
    <w:rsid w:val="00B13658"/>
    <w:rsid w:val="00B17105"/>
    <w:rsid w:val="00B30B64"/>
    <w:rsid w:val="00B322DF"/>
    <w:rsid w:val="00B42AB9"/>
    <w:rsid w:val="00B44E3B"/>
    <w:rsid w:val="00B46230"/>
    <w:rsid w:val="00B50E7A"/>
    <w:rsid w:val="00B53196"/>
    <w:rsid w:val="00B53952"/>
    <w:rsid w:val="00B56717"/>
    <w:rsid w:val="00B5717B"/>
    <w:rsid w:val="00B64349"/>
    <w:rsid w:val="00B66992"/>
    <w:rsid w:val="00B76EFD"/>
    <w:rsid w:val="00B80871"/>
    <w:rsid w:val="00B828CF"/>
    <w:rsid w:val="00B82FCA"/>
    <w:rsid w:val="00B91178"/>
    <w:rsid w:val="00B92DA7"/>
    <w:rsid w:val="00B9324C"/>
    <w:rsid w:val="00BA7895"/>
    <w:rsid w:val="00BA7DA3"/>
    <w:rsid w:val="00BB0748"/>
    <w:rsid w:val="00BB3FF7"/>
    <w:rsid w:val="00BC3D8D"/>
    <w:rsid w:val="00BC7710"/>
    <w:rsid w:val="00BD22D2"/>
    <w:rsid w:val="00BD50F1"/>
    <w:rsid w:val="00BD530C"/>
    <w:rsid w:val="00BD5EA2"/>
    <w:rsid w:val="00BE03C9"/>
    <w:rsid w:val="00BE13EB"/>
    <w:rsid w:val="00BE2DC3"/>
    <w:rsid w:val="00BE4D61"/>
    <w:rsid w:val="00BE6696"/>
    <w:rsid w:val="00BF00AD"/>
    <w:rsid w:val="00BF7A36"/>
    <w:rsid w:val="00C060C6"/>
    <w:rsid w:val="00C06594"/>
    <w:rsid w:val="00C1133A"/>
    <w:rsid w:val="00C16897"/>
    <w:rsid w:val="00C176F5"/>
    <w:rsid w:val="00C22A51"/>
    <w:rsid w:val="00C25EDE"/>
    <w:rsid w:val="00C277BB"/>
    <w:rsid w:val="00C34FCD"/>
    <w:rsid w:val="00C369FB"/>
    <w:rsid w:val="00C40FA8"/>
    <w:rsid w:val="00C5031B"/>
    <w:rsid w:val="00C54577"/>
    <w:rsid w:val="00C66FA8"/>
    <w:rsid w:val="00C71470"/>
    <w:rsid w:val="00C7208E"/>
    <w:rsid w:val="00C755BF"/>
    <w:rsid w:val="00C77765"/>
    <w:rsid w:val="00C84311"/>
    <w:rsid w:val="00C90025"/>
    <w:rsid w:val="00C905ED"/>
    <w:rsid w:val="00C92088"/>
    <w:rsid w:val="00C92B19"/>
    <w:rsid w:val="00C92F5E"/>
    <w:rsid w:val="00C94BF0"/>
    <w:rsid w:val="00C95887"/>
    <w:rsid w:val="00CA0A37"/>
    <w:rsid w:val="00CA2DD2"/>
    <w:rsid w:val="00CA56A4"/>
    <w:rsid w:val="00CA70B2"/>
    <w:rsid w:val="00CB0A5E"/>
    <w:rsid w:val="00CB1F4A"/>
    <w:rsid w:val="00CB22A6"/>
    <w:rsid w:val="00CB5580"/>
    <w:rsid w:val="00CB5B08"/>
    <w:rsid w:val="00CC3225"/>
    <w:rsid w:val="00CC47AA"/>
    <w:rsid w:val="00CC6D6F"/>
    <w:rsid w:val="00CC7939"/>
    <w:rsid w:val="00CE157C"/>
    <w:rsid w:val="00CE371B"/>
    <w:rsid w:val="00CE3A20"/>
    <w:rsid w:val="00CE7D6B"/>
    <w:rsid w:val="00CE7E1D"/>
    <w:rsid w:val="00CF575D"/>
    <w:rsid w:val="00CF60AF"/>
    <w:rsid w:val="00D0238B"/>
    <w:rsid w:val="00D15565"/>
    <w:rsid w:val="00D1569B"/>
    <w:rsid w:val="00D22E18"/>
    <w:rsid w:val="00D37C9F"/>
    <w:rsid w:val="00D37F7C"/>
    <w:rsid w:val="00D4051D"/>
    <w:rsid w:val="00D42124"/>
    <w:rsid w:val="00D46987"/>
    <w:rsid w:val="00D5556C"/>
    <w:rsid w:val="00D5669C"/>
    <w:rsid w:val="00D60EE7"/>
    <w:rsid w:val="00D610EA"/>
    <w:rsid w:val="00D624EC"/>
    <w:rsid w:val="00D65C2E"/>
    <w:rsid w:val="00D7735F"/>
    <w:rsid w:val="00D831B5"/>
    <w:rsid w:val="00D83A5B"/>
    <w:rsid w:val="00D91A1C"/>
    <w:rsid w:val="00D93139"/>
    <w:rsid w:val="00D96386"/>
    <w:rsid w:val="00D965A1"/>
    <w:rsid w:val="00D96BA5"/>
    <w:rsid w:val="00D9736C"/>
    <w:rsid w:val="00D9749E"/>
    <w:rsid w:val="00D97CA6"/>
    <w:rsid w:val="00D97FD3"/>
    <w:rsid w:val="00DA055A"/>
    <w:rsid w:val="00DA1EAB"/>
    <w:rsid w:val="00DA3A32"/>
    <w:rsid w:val="00DB0B1A"/>
    <w:rsid w:val="00DB1C19"/>
    <w:rsid w:val="00DB43B0"/>
    <w:rsid w:val="00DB573A"/>
    <w:rsid w:val="00DB5CEE"/>
    <w:rsid w:val="00DB6974"/>
    <w:rsid w:val="00DC58EA"/>
    <w:rsid w:val="00DC6191"/>
    <w:rsid w:val="00DD1744"/>
    <w:rsid w:val="00DD1DAE"/>
    <w:rsid w:val="00DD7A0C"/>
    <w:rsid w:val="00DE20F9"/>
    <w:rsid w:val="00DE2AE1"/>
    <w:rsid w:val="00DE39C3"/>
    <w:rsid w:val="00DE45CD"/>
    <w:rsid w:val="00DF12E9"/>
    <w:rsid w:val="00DF22A6"/>
    <w:rsid w:val="00DF4303"/>
    <w:rsid w:val="00E0246A"/>
    <w:rsid w:val="00E15061"/>
    <w:rsid w:val="00E17733"/>
    <w:rsid w:val="00E22AE2"/>
    <w:rsid w:val="00E22DDD"/>
    <w:rsid w:val="00E22F36"/>
    <w:rsid w:val="00E23E9D"/>
    <w:rsid w:val="00E2600D"/>
    <w:rsid w:val="00E31C42"/>
    <w:rsid w:val="00E32716"/>
    <w:rsid w:val="00E40200"/>
    <w:rsid w:val="00E41425"/>
    <w:rsid w:val="00E434C2"/>
    <w:rsid w:val="00E43B87"/>
    <w:rsid w:val="00E46D9D"/>
    <w:rsid w:val="00E553F9"/>
    <w:rsid w:val="00E55953"/>
    <w:rsid w:val="00E607F1"/>
    <w:rsid w:val="00E63B75"/>
    <w:rsid w:val="00E73003"/>
    <w:rsid w:val="00E76061"/>
    <w:rsid w:val="00E77CC7"/>
    <w:rsid w:val="00E80648"/>
    <w:rsid w:val="00E820A7"/>
    <w:rsid w:val="00E94B25"/>
    <w:rsid w:val="00E9733B"/>
    <w:rsid w:val="00EA0FD4"/>
    <w:rsid w:val="00EB502C"/>
    <w:rsid w:val="00EB5E4C"/>
    <w:rsid w:val="00EC09C4"/>
    <w:rsid w:val="00EC2BC0"/>
    <w:rsid w:val="00EC65D2"/>
    <w:rsid w:val="00ED06A4"/>
    <w:rsid w:val="00ED35A9"/>
    <w:rsid w:val="00ED4759"/>
    <w:rsid w:val="00ED537D"/>
    <w:rsid w:val="00ED5C49"/>
    <w:rsid w:val="00EE66BB"/>
    <w:rsid w:val="00EE6B33"/>
    <w:rsid w:val="00EF013F"/>
    <w:rsid w:val="00EF13FD"/>
    <w:rsid w:val="00EF142D"/>
    <w:rsid w:val="00EF3031"/>
    <w:rsid w:val="00EF4869"/>
    <w:rsid w:val="00EF4C19"/>
    <w:rsid w:val="00F01BB7"/>
    <w:rsid w:val="00F02631"/>
    <w:rsid w:val="00F02DE4"/>
    <w:rsid w:val="00F03A4C"/>
    <w:rsid w:val="00F056C0"/>
    <w:rsid w:val="00F071C4"/>
    <w:rsid w:val="00F14461"/>
    <w:rsid w:val="00F20271"/>
    <w:rsid w:val="00F20FB5"/>
    <w:rsid w:val="00F22242"/>
    <w:rsid w:val="00F22F8C"/>
    <w:rsid w:val="00F23E34"/>
    <w:rsid w:val="00F24075"/>
    <w:rsid w:val="00F37FAD"/>
    <w:rsid w:val="00F420D1"/>
    <w:rsid w:val="00F43D20"/>
    <w:rsid w:val="00F43E37"/>
    <w:rsid w:val="00F50ECC"/>
    <w:rsid w:val="00F54FA0"/>
    <w:rsid w:val="00F55B4B"/>
    <w:rsid w:val="00F6201A"/>
    <w:rsid w:val="00F6387C"/>
    <w:rsid w:val="00F63BEC"/>
    <w:rsid w:val="00F72BC5"/>
    <w:rsid w:val="00F762FD"/>
    <w:rsid w:val="00F83447"/>
    <w:rsid w:val="00F842F8"/>
    <w:rsid w:val="00F84F64"/>
    <w:rsid w:val="00F8652E"/>
    <w:rsid w:val="00F87CC7"/>
    <w:rsid w:val="00F920E7"/>
    <w:rsid w:val="00F93676"/>
    <w:rsid w:val="00F93AA3"/>
    <w:rsid w:val="00F93D63"/>
    <w:rsid w:val="00FA313B"/>
    <w:rsid w:val="00FA4868"/>
    <w:rsid w:val="00FA5D64"/>
    <w:rsid w:val="00FB2165"/>
    <w:rsid w:val="00FB5627"/>
    <w:rsid w:val="00FC20F0"/>
    <w:rsid w:val="00FC21DB"/>
    <w:rsid w:val="00FC2898"/>
    <w:rsid w:val="00FD1351"/>
    <w:rsid w:val="00FD59D8"/>
    <w:rsid w:val="00FD62CC"/>
    <w:rsid w:val="00FD7176"/>
    <w:rsid w:val="00FD7612"/>
    <w:rsid w:val="00FE5BBF"/>
    <w:rsid w:val="00FF241D"/>
    <w:rsid w:val="00FF268A"/>
    <w:rsid w:val="00FF34A5"/>
    <w:rsid w:val="012E2FFC"/>
    <w:rsid w:val="015FD468"/>
    <w:rsid w:val="01FB2442"/>
    <w:rsid w:val="030F40C0"/>
    <w:rsid w:val="038A74B3"/>
    <w:rsid w:val="0396B452"/>
    <w:rsid w:val="0430E29C"/>
    <w:rsid w:val="053F1DF1"/>
    <w:rsid w:val="0564E2ED"/>
    <w:rsid w:val="05C3FFFC"/>
    <w:rsid w:val="06A4D484"/>
    <w:rsid w:val="0700B34E"/>
    <w:rsid w:val="07114F50"/>
    <w:rsid w:val="074A6849"/>
    <w:rsid w:val="089C83AF"/>
    <w:rsid w:val="09A9A936"/>
    <w:rsid w:val="0C9ABF72"/>
    <w:rsid w:val="0CB4E5D7"/>
    <w:rsid w:val="0D6FF4D2"/>
    <w:rsid w:val="0D759ACC"/>
    <w:rsid w:val="0D7E5095"/>
    <w:rsid w:val="0D91299B"/>
    <w:rsid w:val="0DB865A1"/>
    <w:rsid w:val="0FACD29E"/>
    <w:rsid w:val="0FD46305"/>
    <w:rsid w:val="0FF7FE48"/>
    <w:rsid w:val="11047D73"/>
    <w:rsid w:val="118C2E5B"/>
    <w:rsid w:val="1285CB75"/>
    <w:rsid w:val="14CCFB76"/>
    <w:rsid w:val="16CE3875"/>
    <w:rsid w:val="17568963"/>
    <w:rsid w:val="18BEF162"/>
    <w:rsid w:val="18F66F78"/>
    <w:rsid w:val="1A493AE6"/>
    <w:rsid w:val="1D754270"/>
    <w:rsid w:val="1D97A625"/>
    <w:rsid w:val="1F0BEB7F"/>
    <w:rsid w:val="1F53F3F6"/>
    <w:rsid w:val="1FA50389"/>
    <w:rsid w:val="1FF00F27"/>
    <w:rsid w:val="216A5576"/>
    <w:rsid w:val="21BA9A3A"/>
    <w:rsid w:val="223441F2"/>
    <w:rsid w:val="23319A68"/>
    <w:rsid w:val="247DCA44"/>
    <w:rsid w:val="2488B62B"/>
    <w:rsid w:val="24A138D7"/>
    <w:rsid w:val="24E2F20E"/>
    <w:rsid w:val="26A5757C"/>
    <w:rsid w:val="26DADA74"/>
    <w:rsid w:val="26ECFE65"/>
    <w:rsid w:val="279278A2"/>
    <w:rsid w:val="2862A2DF"/>
    <w:rsid w:val="28EA6854"/>
    <w:rsid w:val="29FA2ACC"/>
    <w:rsid w:val="2AB9F12C"/>
    <w:rsid w:val="2B135834"/>
    <w:rsid w:val="2B3437CA"/>
    <w:rsid w:val="2B9D2066"/>
    <w:rsid w:val="2C51CBF8"/>
    <w:rsid w:val="2DC44C52"/>
    <w:rsid w:val="2E6CBD02"/>
    <w:rsid w:val="2E8270C2"/>
    <w:rsid w:val="2F23F2DC"/>
    <w:rsid w:val="30E3D71A"/>
    <w:rsid w:val="30FBED14"/>
    <w:rsid w:val="318874A6"/>
    <w:rsid w:val="320C45D9"/>
    <w:rsid w:val="339C1B74"/>
    <w:rsid w:val="3404E030"/>
    <w:rsid w:val="345167C0"/>
    <w:rsid w:val="35552DDD"/>
    <w:rsid w:val="360AB77C"/>
    <w:rsid w:val="36773B8F"/>
    <w:rsid w:val="3791BCFF"/>
    <w:rsid w:val="3909A4F3"/>
    <w:rsid w:val="39C2EB51"/>
    <w:rsid w:val="39D2E74F"/>
    <w:rsid w:val="3BDBAC38"/>
    <w:rsid w:val="3C3A41C6"/>
    <w:rsid w:val="3C78FCE1"/>
    <w:rsid w:val="3E717959"/>
    <w:rsid w:val="3E80B611"/>
    <w:rsid w:val="410365BD"/>
    <w:rsid w:val="41440E88"/>
    <w:rsid w:val="42A96739"/>
    <w:rsid w:val="42E1CF59"/>
    <w:rsid w:val="43CD0E1D"/>
    <w:rsid w:val="44519F26"/>
    <w:rsid w:val="44E98325"/>
    <w:rsid w:val="44FF8454"/>
    <w:rsid w:val="458778F9"/>
    <w:rsid w:val="467F98F9"/>
    <w:rsid w:val="46E74305"/>
    <w:rsid w:val="497894D1"/>
    <w:rsid w:val="4CF729F3"/>
    <w:rsid w:val="50DFCBB6"/>
    <w:rsid w:val="51E88A34"/>
    <w:rsid w:val="524A1A84"/>
    <w:rsid w:val="5437A7EE"/>
    <w:rsid w:val="54543F82"/>
    <w:rsid w:val="54E6B163"/>
    <w:rsid w:val="5512B2C6"/>
    <w:rsid w:val="5556CBC3"/>
    <w:rsid w:val="5611323D"/>
    <w:rsid w:val="56254A49"/>
    <w:rsid w:val="56A67BF8"/>
    <w:rsid w:val="583DF4D4"/>
    <w:rsid w:val="58B40C5F"/>
    <w:rsid w:val="5ADFCA00"/>
    <w:rsid w:val="5B666470"/>
    <w:rsid w:val="5CA13FAA"/>
    <w:rsid w:val="5CAFDB9E"/>
    <w:rsid w:val="5CFA0A5E"/>
    <w:rsid w:val="5E20821D"/>
    <w:rsid w:val="5E2EB900"/>
    <w:rsid w:val="5ECA2322"/>
    <w:rsid w:val="5F1F06C0"/>
    <w:rsid w:val="5F25B6B5"/>
    <w:rsid w:val="605B74A1"/>
    <w:rsid w:val="6085102D"/>
    <w:rsid w:val="609C79FE"/>
    <w:rsid w:val="61C81740"/>
    <w:rsid w:val="62070B57"/>
    <w:rsid w:val="623202C3"/>
    <w:rsid w:val="632D49AF"/>
    <w:rsid w:val="637EDD2A"/>
    <w:rsid w:val="649AED9E"/>
    <w:rsid w:val="658EF83D"/>
    <w:rsid w:val="67FBAACA"/>
    <w:rsid w:val="6856D006"/>
    <w:rsid w:val="692709F2"/>
    <w:rsid w:val="6BF51D3E"/>
    <w:rsid w:val="6C36F4BE"/>
    <w:rsid w:val="6DD2C51F"/>
    <w:rsid w:val="6E32E725"/>
    <w:rsid w:val="6EC13440"/>
    <w:rsid w:val="708C88D6"/>
    <w:rsid w:val="71197CAC"/>
    <w:rsid w:val="718580B4"/>
    <w:rsid w:val="718D591D"/>
    <w:rsid w:val="718DDD43"/>
    <w:rsid w:val="71F3E355"/>
    <w:rsid w:val="72C4D0BD"/>
    <w:rsid w:val="738B7766"/>
    <w:rsid w:val="74958080"/>
    <w:rsid w:val="74A486A5"/>
    <w:rsid w:val="7546D19C"/>
    <w:rsid w:val="75808201"/>
    <w:rsid w:val="76265D54"/>
    <w:rsid w:val="762C53EA"/>
    <w:rsid w:val="762E6E34"/>
    <w:rsid w:val="76B22DEF"/>
    <w:rsid w:val="76BB2FC1"/>
    <w:rsid w:val="76E2A1FD"/>
    <w:rsid w:val="773294C4"/>
    <w:rsid w:val="773D5561"/>
    <w:rsid w:val="77ECCAC6"/>
    <w:rsid w:val="784054D4"/>
    <w:rsid w:val="7864C8CD"/>
    <w:rsid w:val="78C121B1"/>
    <w:rsid w:val="7918A8F2"/>
    <w:rsid w:val="79889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9A71"/>
  <w15:chartTrackingRefBased/>
  <w15:docId w15:val="{259389D1-4310-4B11-A5D2-1D7A0B68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D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5D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CEE"/>
    <w:pPr>
      <w:spacing w:after="0" w:line="240" w:lineRule="auto"/>
      <w:ind w:left="720"/>
    </w:pPr>
    <w:rPr>
      <w:rFonts w:ascii="Calibri" w:hAnsi="Calibri" w:cs="Calibri"/>
    </w:rPr>
  </w:style>
  <w:style w:type="paragraph" w:customStyle="1" w:styleId="Default">
    <w:name w:val="Default"/>
    <w:rsid w:val="003A5BB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04A69"/>
    <w:rPr>
      <w:sz w:val="16"/>
      <w:szCs w:val="16"/>
    </w:rPr>
  </w:style>
  <w:style w:type="paragraph" w:styleId="CommentText">
    <w:name w:val="annotation text"/>
    <w:basedOn w:val="Normal"/>
    <w:link w:val="CommentTextChar"/>
    <w:uiPriority w:val="99"/>
    <w:unhideWhenUsed/>
    <w:rsid w:val="00004A69"/>
    <w:pPr>
      <w:spacing w:line="240" w:lineRule="auto"/>
    </w:pPr>
    <w:rPr>
      <w:sz w:val="20"/>
      <w:szCs w:val="20"/>
    </w:rPr>
  </w:style>
  <w:style w:type="character" w:customStyle="1" w:styleId="CommentTextChar">
    <w:name w:val="Comment Text Char"/>
    <w:basedOn w:val="DefaultParagraphFont"/>
    <w:link w:val="CommentText"/>
    <w:uiPriority w:val="99"/>
    <w:rsid w:val="00004A69"/>
    <w:rPr>
      <w:sz w:val="20"/>
      <w:szCs w:val="20"/>
    </w:rPr>
  </w:style>
  <w:style w:type="paragraph" w:styleId="CommentSubject">
    <w:name w:val="annotation subject"/>
    <w:basedOn w:val="CommentText"/>
    <w:next w:val="CommentText"/>
    <w:link w:val="CommentSubjectChar"/>
    <w:uiPriority w:val="99"/>
    <w:semiHidden/>
    <w:unhideWhenUsed/>
    <w:rsid w:val="00004A69"/>
    <w:rPr>
      <w:b/>
      <w:bCs/>
    </w:rPr>
  </w:style>
  <w:style w:type="character" w:customStyle="1" w:styleId="CommentSubjectChar">
    <w:name w:val="Comment Subject Char"/>
    <w:basedOn w:val="CommentTextChar"/>
    <w:link w:val="CommentSubject"/>
    <w:uiPriority w:val="99"/>
    <w:semiHidden/>
    <w:rsid w:val="00004A69"/>
    <w:rPr>
      <w:b/>
      <w:bCs/>
      <w:sz w:val="20"/>
      <w:szCs w:val="20"/>
    </w:rPr>
  </w:style>
  <w:style w:type="paragraph" w:styleId="BodyText">
    <w:name w:val="Body Text"/>
    <w:basedOn w:val="Normal"/>
    <w:link w:val="BodyTextChar"/>
    <w:uiPriority w:val="1"/>
    <w:qFormat/>
    <w:rsid w:val="006950C6"/>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950C6"/>
    <w:rPr>
      <w:rFonts w:ascii="Times New Roman" w:hAnsi="Times New Roman" w:cs="Times New Roman"/>
      <w:sz w:val="24"/>
      <w:szCs w:val="24"/>
    </w:rPr>
  </w:style>
  <w:style w:type="character" w:styleId="Hyperlink">
    <w:name w:val="Hyperlink"/>
    <w:basedOn w:val="DefaultParagraphFont"/>
    <w:uiPriority w:val="99"/>
    <w:unhideWhenUsed/>
    <w:rsid w:val="00E41425"/>
    <w:rPr>
      <w:color w:val="0563C1" w:themeColor="hyperlink"/>
      <w:u w:val="single"/>
    </w:rPr>
  </w:style>
  <w:style w:type="character" w:styleId="UnresolvedMention">
    <w:name w:val="Unresolved Mention"/>
    <w:basedOn w:val="DefaultParagraphFont"/>
    <w:uiPriority w:val="99"/>
    <w:semiHidden/>
    <w:unhideWhenUsed/>
    <w:rsid w:val="00E41425"/>
    <w:rPr>
      <w:color w:val="605E5C"/>
      <w:shd w:val="clear" w:color="auto" w:fill="E1DFDD"/>
    </w:rPr>
  </w:style>
  <w:style w:type="character" w:customStyle="1" w:styleId="Heading1Char">
    <w:name w:val="Heading 1 Char"/>
    <w:basedOn w:val="DefaultParagraphFont"/>
    <w:link w:val="Heading1"/>
    <w:uiPriority w:val="9"/>
    <w:rsid w:val="00315D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5DF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76EFD"/>
    <w:pPr>
      <w:spacing w:after="0" w:line="240" w:lineRule="auto"/>
    </w:pPr>
  </w:style>
  <w:style w:type="character" w:styleId="Mention">
    <w:name w:val="Mention"/>
    <w:basedOn w:val="DefaultParagraphFont"/>
    <w:uiPriority w:val="99"/>
    <w:unhideWhenUsed/>
    <w:rsid w:val="00FD7176"/>
    <w:rPr>
      <w:color w:val="2B579A"/>
      <w:shd w:val="clear" w:color="auto" w:fill="E1DFDD"/>
    </w:rPr>
  </w:style>
  <w:style w:type="character" w:styleId="FollowedHyperlink">
    <w:name w:val="FollowedHyperlink"/>
    <w:basedOn w:val="DefaultParagraphFont"/>
    <w:uiPriority w:val="99"/>
    <w:semiHidden/>
    <w:unhideWhenUsed/>
    <w:rsid w:val="000C6DCE"/>
    <w:rPr>
      <w:color w:val="954F72" w:themeColor="followedHyperlink"/>
      <w:u w:val="single"/>
    </w:rPr>
  </w:style>
  <w:style w:type="paragraph" w:styleId="Header">
    <w:name w:val="header"/>
    <w:basedOn w:val="Normal"/>
    <w:link w:val="HeaderChar"/>
    <w:uiPriority w:val="99"/>
    <w:unhideWhenUsed/>
    <w:rsid w:val="00F14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461"/>
  </w:style>
  <w:style w:type="paragraph" w:styleId="Footer">
    <w:name w:val="footer"/>
    <w:basedOn w:val="Normal"/>
    <w:link w:val="FooterChar"/>
    <w:uiPriority w:val="99"/>
    <w:unhideWhenUsed/>
    <w:rsid w:val="00F14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38690">
      <w:bodyDiv w:val="1"/>
      <w:marLeft w:val="0"/>
      <w:marRight w:val="0"/>
      <w:marTop w:val="0"/>
      <w:marBottom w:val="0"/>
      <w:divBdr>
        <w:top w:val="none" w:sz="0" w:space="0" w:color="auto"/>
        <w:left w:val="none" w:sz="0" w:space="0" w:color="auto"/>
        <w:bottom w:val="none" w:sz="0" w:space="0" w:color="auto"/>
        <w:right w:val="none" w:sz="0" w:space="0" w:color="auto"/>
      </w:divBdr>
    </w:div>
    <w:div w:id="575286696">
      <w:bodyDiv w:val="1"/>
      <w:marLeft w:val="0"/>
      <w:marRight w:val="0"/>
      <w:marTop w:val="0"/>
      <w:marBottom w:val="0"/>
      <w:divBdr>
        <w:top w:val="none" w:sz="0" w:space="0" w:color="auto"/>
        <w:left w:val="none" w:sz="0" w:space="0" w:color="auto"/>
        <w:bottom w:val="none" w:sz="0" w:space="0" w:color="auto"/>
        <w:right w:val="none" w:sz="0" w:space="0" w:color="auto"/>
      </w:divBdr>
    </w:div>
    <w:div w:id="1249730490">
      <w:bodyDiv w:val="1"/>
      <w:marLeft w:val="0"/>
      <w:marRight w:val="0"/>
      <w:marTop w:val="0"/>
      <w:marBottom w:val="0"/>
      <w:divBdr>
        <w:top w:val="none" w:sz="0" w:space="0" w:color="auto"/>
        <w:left w:val="none" w:sz="0" w:space="0" w:color="auto"/>
        <w:bottom w:val="none" w:sz="0" w:space="0" w:color="auto"/>
        <w:right w:val="none" w:sz="0" w:space="0" w:color="auto"/>
      </w:divBdr>
    </w:div>
    <w:div w:id="1442648408">
      <w:bodyDiv w:val="1"/>
      <w:marLeft w:val="0"/>
      <w:marRight w:val="0"/>
      <w:marTop w:val="0"/>
      <w:marBottom w:val="0"/>
      <w:divBdr>
        <w:top w:val="none" w:sz="0" w:space="0" w:color="auto"/>
        <w:left w:val="none" w:sz="0" w:space="0" w:color="auto"/>
        <w:bottom w:val="none" w:sz="0" w:space="0" w:color="auto"/>
        <w:right w:val="none" w:sz="0" w:space="0" w:color="auto"/>
      </w:divBdr>
    </w:div>
    <w:div w:id="1755318951">
      <w:bodyDiv w:val="1"/>
      <w:marLeft w:val="0"/>
      <w:marRight w:val="0"/>
      <w:marTop w:val="0"/>
      <w:marBottom w:val="0"/>
      <w:divBdr>
        <w:top w:val="none" w:sz="0" w:space="0" w:color="auto"/>
        <w:left w:val="none" w:sz="0" w:space="0" w:color="auto"/>
        <w:bottom w:val="none" w:sz="0" w:space="0" w:color="auto"/>
        <w:right w:val="none" w:sz="0" w:space="0" w:color="auto"/>
      </w:divBdr>
    </w:div>
    <w:div w:id="203018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search-results-detail/352100" TargetMode="External"/><Relationship Id="rId13" Type="http://schemas.openxmlformats.org/officeDocument/2006/relationships/hyperlink" Target="https://www.dol.gov/agencies/eta/advisories/training-and-employment-guidance-letter-no-18-16-change-1"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dol.gov/agencies/eta/agriculture/monitor-advocate-system/serv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FJP.OGM@dol.gov"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engagement.workforcegps.org/resources/2016/04/12/13/53/Sector-Strategies-Implementation-Framework"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farmworker.workforcegps.org%2Fresources%2F2024%2F03%2F21%2F15%2F36%2FProspective-Applicant-Webcast-for-2024-Funding-Opportunity-Announcement&amp;data=05%7C02%7CFraga.Lynn%40dol.gov%7C9a69b83c18d9414e953708dc54d9068a%7C75a6305472044e0c9126adab971d4aca%7C0%7C0%7C638478538330423738%7CUnknown%7CTWFpbGZsb3d8eyJWIjoiMC4wLjAwMDAiLCJQIjoiV2luMzIiLCJBTiI6Ik1haWwiLCJXVCI6Mn0%3D%7C0%7C%7C%7C&amp;sdata=158fgXqUgLjx7aWo%2Be034pqsmyzyChsGJpngzHWjr4Y%3D&amp;reserved=0" TargetMode="External"/><Relationship Id="rId10" Type="http://schemas.openxmlformats.org/officeDocument/2006/relationships/hyperlink" Target="https://www.dol.gov/agencies/eta/advisories/tegl-17-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l.gov/agencies/eta/advisories/tegl-17-22" TargetMode="External"/><Relationship Id="rId14" Type="http://schemas.openxmlformats.org/officeDocument/2006/relationships/hyperlink" Target="https://www.dol.gov/agencies/eta/advisories/training-and-employment-guidance-letter-no-08-17"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24199-3779-43DD-AEBC-73C029B77F93}">
  <ds:schemaRefs>
    <ds:schemaRef ds:uri="http://schemas.openxmlformats.org/officeDocument/2006/bibliography"/>
  </ds:schemaRefs>
</ds:datastoreItem>
</file>

<file path=customXml/itemProps2.xml><?xml version="1.0" encoding="utf-8"?>
<ds:datastoreItem xmlns:ds="http://schemas.openxmlformats.org/officeDocument/2006/customXml" ds:itemID="{96E5E5E2-F685-4C83-A3BC-0E1B1E57BF6F}"/>
</file>

<file path=customXml/itemProps3.xml><?xml version="1.0" encoding="utf-8"?>
<ds:datastoreItem xmlns:ds="http://schemas.openxmlformats.org/officeDocument/2006/customXml" ds:itemID="{2561E8D9-65E0-4370-BEEB-8EE0D3AF0D2C}"/>
</file>

<file path=customXml/itemProps4.xml><?xml version="1.0" encoding="utf-8"?>
<ds:datastoreItem xmlns:ds="http://schemas.openxmlformats.org/officeDocument/2006/customXml" ds:itemID="{F15186F2-AEF8-4A12-BFA6-03AEEAFEF31E}"/>
</file>

<file path=docProps/app.xml><?xml version="1.0" encoding="utf-8"?>
<Properties xmlns="http://schemas.openxmlformats.org/officeDocument/2006/extended-properties" xmlns:vt="http://schemas.openxmlformats.org/officeDocument/2006/docPropsVTypes">
  <Template>Normal</Template>
  <TotalTime>5</TotalTime>
  <Pages>9</Pages>
  <Words>4011</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26823</CharactersWithSpaces>
  <SharedDoc>false</SharedDoc>
  <HLinks>
    <vt:vector size="120" baseType="variant">
      <vt:variant>
        <vt:i4>2228264</vt:i4>
      </vt:variant>
      <vt:variant>
        <vt:i4>24</vt:i4>
      </vt:variant>
      <vt:variant>
        <vt:i4>0</vt:i4>
      </vt:variant>
      <vt:variant>
        <vt:i4>5</vt:i4>
      </vt:variant>
      <vt:variant>
        <vt:lpwstr>https://gcc02.safelinks.protection.outlook.com/?url=https%3A%2F%2Fgrants.gov%2Fsearch-results-detail%2F352100&amp;data=05%7C02%7CRietzke.Steven%40dol.gov%7Cf62c721a515f4fc8f4fd08dc4856c05e%7C75a6305472044e0c9126adab971d4aca%7C0%7C0%7C638464784623430860%7CUnknown%7CTWFpbGZsb3d8eyJWIjoiMC4wLjAwMDAiLCJQIjoiV2luMzIiLCJBTiI6Ik1haWwiLCJXVCI6Mn0%3D%7C0%7C%7C%7C&amp;sdata=VfjLG6Nk4dz3oNtsYay18lyu4B%2BYDX1rZqnR%2BtBFq5I%3D&amp;reserved=0</vt:lpwstr>
      </vt:variant>
      <vt:variant>
        <vt:lpwstr/>
      </vt:variant>
      <vt:variant>
        <vt:i4>2687017</vt:i4>
      </vt:variant>
      <vt:variant>
        <vt:i4>21</vt:i4>
      </vt:variant>
      <vt:variant>
        <vt:i4>0</vt:i4>
      </vt:variant>
      <vt:variant>
        <vt:i4>5</vt:i4>
      </vt:variant>
      <vt:variant>
        <vt:lpwstr>https://gcc02.safelinks.protection.outlook.com/?url=https%3A%2F%2Fgrants.gov%2Fsearch-results-detail%2F352100&amp;data=05%7C02%7CRietzke.Steven%40dol.gov%7Cf62c721a515f4fc8f4fd08dc4856c05e%7C75a6305472044e0c9126adab971d4aca%7C0%7C0%7C638464784623424634%7CUnknown%7CTWFpbGZsb3d8eyJWIjoiMC4wLjAwMDAiLCJQIjoiV2luMzIiLCJBTiI6Ik1haWwiLCJXVCI6Mn0%3D%7C0%7C%7C%7C&amp;sdata=4ZOQvHVdidR7QfBN1UL6ZL9AG8xIphYWhVg5KCuRUqY%3D&amp;reserved=0</vt:lpwstr>
      </vt:variant>
      <vt:variant>
        <vt:lpwstr/>
      </vt:variant>
      <vt:variant>
        <vt:i4>3080230</vt:i4>
      </vt:variant>
      <vt:variant>
        <vt:i4>18</vt:i4>
      </vt:variant>
      <vt:variant>
        <vt:i4>0</vt:i4>
      </vt:variant>
      <vt:variant>
        <vt:i4>5</vt:i4>
      </vt:variant>
      <vt:variant>
        <vt:lpwstr>https://gcc02.safelinks.protection.outlook.com/?url=https%3A%2F%2Fgrants.gov%2Fsearch-results-detail%2F352100&amp;data=05%7C02%7CRietzke.Steven%40dol.gov%7Cf62c721a515f4fc8f4fd08dc4856c05e%7C75a6305472044e0c9126adab971d4aca%7C0%7C0%7C638464784623418007%7CUnknown%7CTWFpbGZsb3d8eyJWIjoiMC4wLjAwMDAiLCJQIjoiV2luMzIiLCJBTiI6Ik1haWwiLCJXVCI6Mn0%3D%7C0%7C%7C%7C&amp;sdata=xDU5UnQL11A%2BWrZlVvKIHNHMw8Ia2gVuSAZ03pnvK1I%3D&amp;reserved=0</vt:lpwstr>
      </vt:variant>
      <vt:variant>
        <vt:lpwstr/>
      </vt:variant>
      <vt:variant>
        <vt:i4>2424878</vt:i4>
      </vt:variant>
      <vt:variant>
        <vt:i4>15</vt:i4>
      </vt:variant>
      <vt:variant>
        <vt:i4>0</vt:i4>
      </vt:variant>
      <vt:variant>
        <vt:i4>5</vt:i4>
      </vt:variant>
      <vt:variant>
        <vt:lpwstr>https://gcc02.safelinks.protection.outlook.com/?url=https%3A%2F%2Fgrants.gov%2Fsearch-results-detail%2F352100&amp;data=05%7C02%7CRietzke.Steven%40dol.gov%7Cf62c721a515f4fc8f4fd08dc4856c05e%7C75a6305472044e0c9126adab971d4aca%7C0%7C0%7C638464784623409599%7CUnknown%7CTWFpbGZsb3d8eyJWIjoiMC4wLjAwMDAiLCJQIjoiV2luMzIiLCJBTiI6Ik1haWwiLCJXVCI6Mn0%3D%7C0%7C%7C%7C&amp;sdata=ZIW%2BmMRhiKKMuJI8%2FmnkjA4f0YTdWfxa%2Bx2kWt5oBWc%3D&amp;reserved=0</vt:lpwstr>
      </vt:variant>
      <vt:variant>
        <vt:lpwstr/>
      </vt:variant>
      <vt:variant>
        <vt:i4>2555940</vt:i4>
      </vt:variant>
      <vt:variant>
        <vt:i4>12</vt:i4>
      </vt:variant>
      <vt:variant>
        <vt:i4>0</vt:i4>
      </vt:variant>
      <vt:variant>
        <vt:i4>5</vt:i4>
      </vt:variant>
      <vt:variant>
        <vt:lpwstr>https://gcc02.safelinks.protection.outlook.com/?url=https%3A%2F%2Fgrants.gov%2Fsearch-results-detail%2F352100&amp;data=05%7C02%7CRietzke.Steven%40dol.gov%7Cf62c721a515f4fc8f4fd08dc4856c05e%7C75a6305472044e0c9126adab971d4aca%7C0%7C0%7C638464784623399740%7CUnknown%7CTWFpbGZsb3d8eyJWIjoiMC4wLjAwMDAiLCJQIjoiV2luMzIiLCJBTiI6Ik1haWwiLCJXVCI6Mn0%3D%7C0%7C%7C%7C&amp;sdata=yMTup06oQTncjtt9sV9xX6HVmoFxvVZvcHTVO3B%2FvXA%3D&amp;reserved=0</vt:lpwstr>
      </vt:variant>
      <vt:variant>
        <vt:lpwstr/>
      </vt:variant>
      <vt:variant>
        <vt:i4>5898251</vt:i4>
      </vt:variant>
      <vt:variant>
        <vt:i4>9</vt:i4>
      </vt:variant>
      <vt:variant>
        <vt:i4>0</vt:i4>
      </vt:variant>
      <vt:variant>
        <vt:i4>5</vt:i4>
      </vt:variant>
      <vt:variant>
        <vt:lpwstr>https://businessengagement.workforcegps.org/resources/2016/04/12/13/53/Sector-Strategies-Implementation-Framework</vt:lpwstr>
      </vt:variant>
      <vt:variant>
        <vt:lpwstr/>
      </vt:variant>
      <vt:variant>
        <vt:i4>2424940</vt:i4>
      </vt:variant>
      <vt:variant>
        <vt:i4>3</vt:i4>
      </vt:variant>
      <vt:variant>
        <vt:i4>0</vt:i4>
      </vt:variant>
      <vt:variant>
        <vt:i4>5</vt:i4>
      </vt:variant>
      <vt:variant>
        <vt:lpwstr>https://www.dol.gov/agencies/eta/advisories/tegl-17-22</vt:lpwstr>
      </vt:variant>
      <vt:variant>
        <vt:lpwstr/>
      </vt:variant>
      <vt:variant>
        <vt:i4>2424940</vt:i4>
      </vt:variant>
      <vt:variant>
        <vt:i4>0</vt:i4>
      </vt:variant>
      <vt:variant>
        <vt:i4>0</vt:i4>
      </vt:variant>
      <vt:variant>
        <vt:i4>5</vt:i4>
      </vt:variant>
      <vt:variant>
        <vt:lpwstr>https://www.dol.gov/agencies/eta/advisories/tegl-17-22</vt:lpwstr>
      </vt:variant>
      <vt:variant>
        <vt:lpwstr/>
      </vt:variant>
      <vt:variant>
        <vt:i4>7798801</vt:i4>
      </vt:variant>
      <vt:variant>
        <vt:i4>33</vt:i4>
      </vt:variant>
      <vt:variant>
        <vt:i4>0</vt:i4>
      </vt:variant>
      <vt:variant>
        <vt:i4>5</vt:i4>
      </vt:variant>
      <vt:variant>
        <vt:lpwstr>mailto:Rietzke.Steven@dol.gov</vt:lpwstr>
      </vt:variant>
      <vt:variant>
        <vt:lpwstr/>
      </vt:variant>
      <vt:variant>
        <vt:i4>7798801</vt:i4>
      </vt:variant>
      <vt:variant>
        <vt:i4>30</vt:i4>
      </vt:variant>
      <vt:variant>
        <vt:i4>0</vt:i4>
      </vt:variant>
      <vt:variant>
        <vt:i4>5</vt:i4>
      </vt:variant>
      <vt:variant>
        <vt:lpwstr>mailto:Rietzke.Steven@dol.gov</vt:lpwstr>
      </vt:variant>
      <vt:variant>
        <vt:lpwstr/>
      </vt:variant>
      <vt:variant>
        <vt:i4>3670107</vt:i4>
      </vt:variant>
      <vt:variant>
        <vt:i4>27</vt:i4>
      </vt:variant>
      <vt:variant>
        <vt:i4>0</vt:i4>
      </vt:variant>
      <vt:variant>
        <vt:i4>5</vt:i4>
      </vt:variant>
      <vt:variant>
        <vt:lpwstr>mailto:Vitale.Heather@dol.gov</vt:lpwstr>
      </vt:variant>
      <vt:variant>
        <vt:lpwstr/>
      </vt:variant>
      <vt:variant>
        <vt:i4>3276806</vt:i4>
      </vt:variant>
      <vt:variant>
        <vt:i4>24</vt:i4>
      </vt:variant>
      <vt:variant>
        <vt:i4>0</vt:i4>
      </vt:variant>
      <vt:variant>
        <vt:i4>5</vt:i4>
      </vt:variant>
      <vt:variant>
        <vt:lpwstr>mailto:McAllister.Ashkea.H@dol.gov</vt:lpwstr>
      </vt:variant>
      <vt:variant>
        <vt:lpwstr/>
      </vt:variant>
      <vt:variant>
        <vt:i4>3276806</vt:i4>
      </vt:variant>
      <vt:variant>
        <vt:i4>21</vt:i4>
      </vt:variant>
      <vt:variant>
        <vt:i4>0</vt:i4>
      </vt:variant>
      <vt:variant>
        <vt:i4>5</vt:i4>
      </vt:variant>
      <vt:variant>
        <vt:lpwstr>mailto:McAllister.Ashkea.H@dol.gov</vt:lpwstr>
      </vt:variant>
      <vt:variant>
        <vt:lpwstr/>
      </vt:variant>
      <vt:variant>
        <vt:i4>3276806</vt:i4>
      </vt:variant>
      <vt:variant>
        <vt:i4>18</vt:i4>
      </vt:variant>
      <vt:variant>
        <vt:i4>0</vt:i4>
      </vt:variant>
      <vt:variant>
        <vt:i4>5</vt:i4>
      </vt:variant>
      <vt:variant>
        <vt:lpwstr>mailto:McAllister.Ashkea.H@dol.gov</vt:lpwstr>
      </vt:variant>
      <vt:variant>
        <vt:lpwstr/>
      </vt:variant>
      <vt:variant>
        <vt:i4>3670107</vt:i4>
      </vt:variant>
      <vt:variant>
        <vt:i4>15</vt:i4>
      </vt:variant>
      <vt:variant>
        <vt:i4>0</vt:i4>
      </vt:variant>
      <vt:variant>
        <vt:i4>5</vt:i4>
      </vt:variant>
      <vt:variant>
        <vt:lpwstr>mailto:Vitale.Heather@dol.gov</vt:lpwstr>
      </vt:variant>
      <vt:variant>
        <vt:lpwstr/>
      </vt:variant>
      <vt:variant>
        <vt:i4>3670107</vt:i4>
      </vt:variant>
      <vt:variant>
        <vt:i4>12</vt:i4>
      </vt:variant>
      <vt:variant>
        <vt:i4>0</vt:i4>
      </vt:variant>
      <vt:variant>
        <vt:i4>5</vt:i4>
      </vt:variant>
      <vt:variant>
        <vt:lpwstr>mailto:Vitale.Heather@dol.gov</vt:lpwstr>
      </vt:variant>
      <vt:variant>
        <vt:lpwstr/>
      </vt:variant>
      <vt:variant>
        <vt:i4>7798801</vt:i4>
      </vt:variant>
      <vt:variant>
        <vt:i4>9</vt:i4>
      </vt:variant>
      <vt:variant>
        <vt:i4>0</vt:i4>
      </vt:variant>
      <vt:variant>
        <vt:i4>5</vt:i4>
      </vt:variant>
      <vt:variant>
        <vt:lpwstr>mailto:Rietzke.Steven@dol.gov</vt:lpwstr>
      </vt:variant>
      <vt:variant>
        <vt:lpwstr/>
      </vt:variant>
      <vt:variant>
        <vt:i4>7798801</vt:i4>
      </vt:variant>
      <vt:variant>
        <vt:i4>6</vt:i4>
      </vt:variant>
      <vt:variant>
        <vt:i4>0</vt:i4>
      </vt:variant>
      <vt:variant>
        <vt:i4>5</vt:i4>
      </vt:variant>
      <vt:variant>
        <vt:lpwstr>mailto:Rietzke.Steven@dol.gov</vt:lpwstr>
      </vt:variant>
      <vt:variant>
        <vt:lpwstr/>
      </vt:variant>
      <vt:variant>
        <vt:i4>3670107</vt:i4>
      </vt:variant>
      <vt:variant>
        <vt:i4>3</vt:i4>
      </vt:variant>
      <vt:variant>
        <vt:i4>0</vt:i4>
      </vt:variant>
      <vt:variant>
        <vt:i4>5</vt:i4>
      </vt:variant>
      <vt:variant>
        <vt:lpwstr>mailto:Vitale.Heather@dol.gov</vt:lpwstr>
      </vt:variant>
      <vt:variant>
        <vt:lpwstr/>
      </vt:variant>
      <vt:variant>
        <vt:i4>3670107</vt:i4>
      </vt:variant>
      <vt:variant>
        <vt:i4>0</vt:i4>
      </vt:variant>
      <vt:variant>
        <vt:i4>0</vt:i4>
      </vt:variant>
      <vt:variant>
        <vt:i4>5</vt:i4>
      </vt:variant>
      <vt:variant>
        <vt:lpwstr>mailto:Vitale.Heather@dol.gov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James-Taylor</dc:creator>
  <cp:keywords/>
  <dc:description/>
  <cp:lastModifiedBy>Fraga, Lynn - ETA</cp:lastModifiedBy>
  <cp:revision>2</cp:revision>
  <dcterms:created xsi:type="dcterms:W3CDTF">2024-04-04T21:25:00Z</dcterms:created>
  <dcterms:modified xsi:type="dcterms:W3CDTF">2024-04-04T21:25:00Z</dcterms:modified>
</cp:coreProperties>
</file>