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2A" w:rsidRPr="00CA201E" w:rsidRDefault="00A8182A" w:rsidP="00612569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</w:p>
    <w:p w:rsidR="00A8182A" w:rsidRPr="00CA201E" w:rsidRDefault="00A8182A" w:rsidP="00612569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</w:p>
    <w:p w:rsidR="00612569" w:rsidRPr="00CA201E" w:rsidRDefault="00612569" w:rsidP="00612569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CA201E">
        <w:rPr>
          <w:rFonts w:asciiTheme="majorHAnsi" w:hAnsiTheme="majorHAnsi" w:cs="Arial"/>
          <w:szCs w:val="24"/>
        </w:rPr>
        <w:t>BULLETIN 2017-</w:t>
      </w:r>
      <w:r w:rsidR="00CA201E">
        <w:rPr>
          <w:rFonts w:asciiTheme="majorHAnsi" w:hAnsiTheme="majorHAnsi" w:cs="Arial"/>
          <w:szCs w:val="24"/>
        </w:rPr>
        <w:t>42</w:t>
      </w:r>
      <w:r w:rsidRPr="00CA201E">
        <w:rPr>
          <w:rFonts w:asciiTheme="majorHAnsi" w:hAnsiTheme="majorHAnsi" w:cs="Arial"/>
          <w:szCs w:val="24"/>
        </w:rPr>
        <w:t xml:space="preserve">                      </w:t>
      </w:r>
      <w:r w:rsidRPr="00CA201E">
        <w:rPr>
          <w:rFonts w:asciiTheme="majorHAnsi" w:hAnsiTheme="majorHAnsi" w:cs="Arial"/>
          <w:szCs w:val="24"/>
        </w:rPr>
        <w:tab/>
      </w:r>
      <w:r w:rsidR="00CA201E">
        <w:rPr>
          <w:rFonts w:asciiTheme="majorHAnsi" w:hAnsiTheme="majorHAnsi" w:cs="Arial"/>
          <w:szCs w:val="24"/>
        </w:rPr>
        <w:fldChar w:fldCharType="begin"/>
      </w:r>
      <w:r w:rsidR="00CA201E">
        <w:rPr>
          <w:rFonts w:asciiTheme="majorHAnsi" w:hAnsiTheme="majorHAnsi" w:cs="Arial"/>
          <w:szCs w:val="24"/>
        </w:rPr>
        <w:instrText xml:space="preserve"> DATE \@ "MMMM d, yyyy" </w:instrText>
      </w:r>
      <w:r w:rsidR="00CA201E">
        <w:rPr>
          <w:rFonts w:asciiTheme="majorHAnsi" w:hAnsiTheme="majorHAnsi" w:cs="Arial"/>
          <w:szCs w:val="24"/>
        </w:rPr>
        <w:fldChar w:fldCharType="separate"/>
      </w:r>
      <w:r w:rsidR="00B928C3">
        <w:rPr>
          <w:rFonts w:asciiTheme="majorHAnsi" w:hAnsiTheme="majorHAnsi" w:cs="Arial"/>
          <w:noProof/>
          <w:szCs w:val="24"/>
        </w:rPr>
        <w:t>July 14, 2017</w:t>
      </w:r>
      <w:r w:rsidR="00CA201E">
        <w:rPr>
          <w:rFonts w:asciiTheme="majorHAnsi" w:hAnsiTheme="majorHAnsi" w:cs="Arial"/>
          <w:szCs w:val="24"/>
        </w:rPr>
        <w:fldChar w:fldCharType="end"/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4A0" w:firstRow="1" w:lastRow="0" w:firstColumn="1" w:lastColumn="0" w:noHBand="0" w:noVBand="1"/>
      </w:tblPr>
      <w:tblGrid>
        <w:gridCol w:w="2880"/>
        <w:gridCol w:w="2700"/>
        <w:gridCol w:w="3600"/>
      </w:tblGrid>
      <w:tr w:rsidR="00612569" w:rsidRPr="00CA201E" w:rsidTr="00871B00">
        <w:trPr>
          <w:cantSplit/>
        </w:trPr>
        <w:tc>
          <w:tcPr>
            <w:tcW w:w="2880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hideMark/>
          </w:tcPr>
          <w:p w:rsidR="00612569" w:rsidRPr="00CA201E" w:rsidRDefault="00612569" w:rsidP="00871B00">
            <w:pPr>
              <w:widowControl/>
              <w:rPr>
                <w:rFonts w:ascii="Cambria" w:hAnsi="Cambria" w:cs="Arial"/>
                <w:szCs w:val="24"/>
              </w:rPr>
            </w:pPr>
            <w:r w:rsidRPr="00CA201E">
              <w:rPr>
                <w:rFonts w:ascii="Cambria" w:hAnsi="Cambria" w:cs="Arial"/>
                <w:szCs w:val="24"/>
              </w:rPr>
              <w:t>U.S. Department of Labor</w:t>
            </w:r>
          </w:p>
          <w:p w:rsidR="00612569" w:rsidRPr="00CA201E" w:rsidRDefault="00612569" w:rsidP="00871B00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CA201E">
              <w:rPr>
                <w:rFonts w:ascii="Cambria" w:hAnsi="Cambria" w:cs="Arial"/>
                <w:szCs w:val="24"/>
              </w:rPr>
              <w:t>Employment and Training</w:t>
            </w:r>
          </w:p>
          <w:p w:rsidR="00612569" w:rsidRPr="00CA201E" w:rsidRDefault="00612569" w:rsidP="00871B00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CA201E">
              <w:rPr>
                <w:rFonts w:ascii="Cambria" w:hAnsi="Cambria" w:cs="Arial"/>
                <w:szCs w:val="24"/>
              </w:rPr>
              <w:t xml:space="preserve">  Administration</w:t>
            </w:r>
          </w:p>
          <w:p w:rsidR="00612569" w:rsidRPr="00CA201E" w:rsidRDefault="00612569" w:rsidP="00871B00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CA201E">
              <w:rPr>
                <w:rFonts w:ascii="Cambria" w:hAnsi="Cambria" w:cs="Arial"/>
                <w:szCs w:val="24"/>
              </w:rPr>
              <w:t>Office of Apprenticeship (OA)</w:t>
            </w: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="Cambria" w:hAnsi="Cambria" w:cs="Arial"/>
                <w:snapToGrid w:val="0"/>
                <w:szCs w:val="24"/>
              </w:rPr>
              <w:t>Washington, D.C. 20210</w:t>
            </w:r>
          </w:p>
        </w:tc>
        <w:tc>
          <w:tcPr>
            <w:tcW w:w="2700" w:type="dxa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</w:tcPr>
          <w:p w:rsidR="00612569" w:rsidRPr="00CA201E" w:rsidRDefault="00612569" w:rsidP="00871B0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Distribution:</w:t>
            </w:r>
          </w:p>
          <w:p w:rsidR="00612569" w:rsidRPr="00CA201E" w:rsidRDefault="00612569" w:rsidP="00871B0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CA201E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:rsidR="00612569" w:rsidRPr="00CA201E" w:rsidRDefault="00612569" w:rsidP="00871B0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A-547 SD+RD+SAA+; Lab.Com</w:t>
            </w: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/>
                <w:noProof/>
                <w:color w:val="1F497D"/>
                <w:szCs w:val="24"/>
              </w:rPr>
              <w:drawing>
                <wp:inline distT="0" distB="0" distL="0" distR="0" wp14:anchorId="071309BC" wp14:editId="00692AB2">
                  <wp:extent cx="1638300" cy="412750"/>
                  <wp:effectExtent l="0" t="0" r="0" b="6350"/>
                  <wp:docPr id="1" name="Picture 1" descr="cid:image001.jpg@01D100EC.97206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100EC.972066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double" w:sz="6" w:space="0" w:color="000000"/>
              <w:left w:val="single" w:sz="8" w:space="0" w:color="000000"/>
              <w:bottom w:val="single" w:sz="6" w:space="0" w:color="FFFFFF"/>
              <w:right w:val="double" w:sz="6" w:space="0" w:color="000000"/>
            </w:tcBorders>
          </w:tcPr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CA201E">
              <w:rPr>
                <w:rFonts w:asciiTheme="majorHAnsi" w:hAnsiTheme="majorHAnsi" w:cs="Arial"/>
                <w:szCs w:val="24"/>
              </w:rPr>
              <w:t>:  Revision to</w:t>
            </w:r>
            <w:r w:rsidR="00A8182A" w:rsidRPr="00CA201E">
              <w:rPr>
                <w:rFonts w:asciiTheme="majorHAnsi" w:hAnsiTheme="majorHAnsi" w:cs="Arial"/>
                <w:szCs w:val="24"/>
              </w:rPr>
              <w:t xml:space="preserve"> an</w:t>
            </w:r>
            <w:r w:rsidRPr="00CA201E">
              <w:rPr>
                <w:rFonts w:asciiTheme="majorHAnsi" w:hAnsiTheme="majorHAnsi" w:cs="Arial"/>
                <w:szCs w:val="24"/>
              </w:rPr>
              <w:t xml:space="preserve"> Existing Apprenticeable Occupation:  </w:t>
            </w: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Manager, Food Service</w:t>
            </w: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612569" w:rsidRPr="00CA201E" w:rsidRDefault="00612569" w:rsidP="00871B00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CA201E">
              <w:rPr>
                <w:rFonts w:asciiTheme="majorHAnsi" w:hAnsiTheme="majorHAnsi" w:cs="Arial"/>
                <w:szCs w:val="24"/>
              </w:rPr>
              <w:t xml:space="preserve">: 200.1     </w:t>
            </w:r>
          </w:p>
        </w:tc>
      </w:tr>
      <w:tr w:rsidR="00612569" w:rsidRPr="00CA201E" w:rsidTr="00871B00">
        <w:trPr>
          <w:cantSplit/>
          <w:trHeight w:val="667"/>
        </w:trPr>
        <w:tc>
          <w:tcPr>
            <w:tcW w:w="2880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  <w:hideMark/>
          </w:tcPr>
          <w:p w:rsidR="00612569" w:rsidRPr="00CA201E" w:rsidRDefault="00612569" w:rsidP="00871B0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Symbols: DPQSP/</w:t>
            </w:r>
            <w:proofErr w:type="spellStart"/>
            <w:r w:rsidRPr="00CA201E">
              <w:rPr>
                <w:rFonts w:asciiTheme="majorHAnsi" w:hAnsiTheme="majorHAnsi" w:cs="Arial"/>
                <w:szCs w:val="24"/>
              </w:rPr>
              <w:t>DMc</w:t>
            </w:r>
            <w:proofErr w:type="spellEnd"/>
          </w:p>
        </w:tc>
        <w:tc>
          <w:tcPr>
            <w:tcW w:w="2700" w:type="dxa"/>
            <w:vMerge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6" w:space="0" w:color="FFFFFF"/>
            </w:tcBorders>
            <w:vAlign w:val="center"/>
            <w:hideMark/>
          </w:tcPr>
          <w:p w:rsidR="00612569" w:rsidRPr="00CA201E" w:rsidRDefault="00612569" w:rsidP="00871B00">
            <w:pPr>
              <w:widowControl/>
              <w:snapToGrid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612569" w:rsidRPr="00CA201E" w:rsidRDefault="00612569" w:rsidP="00871B0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612569" w:rsidRPr="00CA201E" w:rsidTr="00871B00">
        <w:tc>
          <w:tcPr>
            <w:tcW w:w="918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CA201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CA201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CA201E">
              <w:rPr>
                <w:rFonts w:asciiTheme="majorHAnsi" w:hAnsiTheme="majorHAnsi" w:cs="Arial"/>
                <w:szCs w:val="24"/>
              </w:rPr>
              <w:t xml:space="preserve">  </w:t>
            </w:r>
            <w:r w:rsidRPr="00B928C3">
              <w:rPr>
                <w:rFonts w:asciiTheme="majorHAnsi" w:hAnsiTheme="majorHAnsi" w:cs="Arial"/>
                <w:szCs w:val="24"/>
              </w:rPr>
              <w:t xml:space="preserve">To inform the staff of OA, State Apprenticeship Agencies (SAA), Registered Apprenticeship program sponsors, and other Registered Apprenticeship partners of a revision to an existing apprenticeable occupation: </w:t>
            </w: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612569" w:rsidRPr="00B928C3" w:rsidRDefault="00612569" w:rsidP="00A8182A">
            <w:pPr>
              <w:ind w:firstLine="2130"/>
              <w:jc w:val="both"/>
              <w:rPr>
                <w:rFonts w:asciiTheme="majorHAnsi" w:hAnsiTheme="majorHAnsi"/>
                <w:bCs/>
                <w:szCs w:val="24"/>
                <w:lang w:val="fr-FR"/>
              </w:rPr>
            </w:pPr>
            <w:r w:rsidRPr="00B928C3">
              <w:rPr>
                <w:rFonts w:asciiTheme="majorHAnsi" w:hAnsiTheme="majorHAnsi"/>
                <w:bCs/>
                <w:szCs w:val="24"/>
                <w:lang w:val="fr-FR"/>
              </w:rPr>
              <w:t>Restaurant Manager</w:t>
            </w:r>
          </w:p>
          <w:p w:rsidR="00612569" w:rsidRPr="00B928C3" w:rsidRDefault="00612569" w:rsidP="00A8182A">
            <w:pPr>
              <w:ind w:firstLine="2130"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/>
                <w:bCs/>
                <w:szCs w:val="24"/>
                <w:lang w:val="fr-FR"/>
              </w:rPr>
              <w:t>(</w:t>
            </w:r>
            <w:r w:rsidRPr="00B928C3">
              <w:rPr>
                <w:rFonts w:asciiTheme="majorHAnsi" w:hAnsiTheme="majorHAnsi"/>
                <w:bCs/>
                <w:szCs w:val="24"/>
              </w:rPr>
              <w:t>Existing</w:t>
            </w:r>
            <w:r w:rsidRPr="00B928C3">
              <w:rPr>
                <w:rFonts w:asciiTheme="majorHAnsi" w:hAnsiTheme="majorHAnsi"/>
                <w:bCs/>
                <w:szCs w:val="24"/>
                <w:lang w:val="fr-FR"/>
              </w:rPr>
              <w:t xml:space="preserve"> </w:t>
            </w:r>
            <w:r w:rsidRPr="00B928C3">
              <w:rPr>
                <w:rFonts w:asciiTheme="majorHAnsi" w:hAnsiTheme="majorHAnsi"/>
                <w:bCs/>
                <w:szCs w:val="24"/>
              </w:rPr>
              <w:t>Title</w:t>
            </w:r>
            <w:r w:rsidRPr="00B928C3">
              <w:rPr>
                <w:rFonts w:asciiTheme="majorHAnsi" w:hAnsiTheme="majorHAnsi"/>
                <w:bCs/>
                <w:szCs w:val="24"/>
                <w:lang w:val="fr-FR"/>
              </w:rPr>
              <w:t xml:space="preserve">: Manager, Food Service) </w:t>
            </w:r>
            <w:r w:rsidRPr="00B928C3">
              <w:rPr>
                <w:rFonts w:asciiTheme="majorHAnsi" w:hAnsiTheme="majorHAnsi" w:cs="Arial"/>
                <w:szCs w:val="24"/>
              </w:rPr>
              <w:t xml:space="preserve">                 </w:t>
            </w:r>
          </w:p>
          <w:p w:rsidR="00612569" w:rsidRPr="00B928C3" w:rsidRDefault="00612569" w:rsidP="00A8182A">
            <w:pPr>
              <w:ind w:firstLine="2130"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>O*NET-SOC Code:  11-9051.00</w:t>
            </w:r>
          </w:p>
          <w:p w:rsidR="00612569" w:rsidRPr="00B928C3" w:rsidRDefault="00612569" w:rsidP="00A8182A">
            <w:pPr>
              <w:ind w:firstLine="2130"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>RAPIDS Code:  0593CB</w:t>
            </w:r>
          </w:p>
          <w:p w:rsidR="00612569" w:rsidRPr="00B928C3" w:rsidRDefault="00612569" w:rsidP="00A8182A">
            <w:pPr>
              <w:tabs>
                <w:tab w:val="left" w:pos="2880"/>
                <w:tab w:val="left" w:pos="3426"/>
                <w:tab w:val="left" w:pos="3925"/>
              </w:tabs>
              <w:ind w:firstLine="2130"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>Term: Competency-based</w:t>
            </w:r>
          </w:p>
          <w:p w:rsidR="00612569" w:rsidRPr="00B928C3" w:rsidRDefault="00612569" w:rsidP="00A8182A">
            <w:pPr>
              <w:tabs>
                <w:tab w:val="left" w:pos="2880"/>
                <w:tab w:val="left" w:pos="3426"/>
                <w:tab w:val="left" w:pos="3925"/>
              </w:tabs>
              <w:ind w:firstLine="2130"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 xml:space="preserve">Type of Training:  Competency-based     </w:t>
            </w:r>
          </w:p>
          <w:p w:rsidR="00A8182A" w:rsidRPr="00B928C3" w:rsidRDefault="00A8182A" w:rsidP="00A8182A">
            <w:pPr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612569" w:rsidRPr="00B928C3" w:rsidRDefault="00612569" w:rsidP="00A8182A">
            <w:pPr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B928C3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B928C3">
              <w:rPr>
                <w:rFonts w:asciiTheme="majorHAnsi" w:hAnsiTheme="majorHAnsi" w:cs="Arial"/>
                <w:bCs/>
                <w:szCs w:val="24"/>
              </w:rPr>
              <w:t xml:space="preserve">The occupation </w:t>
            </w:r>
            <w:r w:rsidR="00A8182A" w:rsidRPr="00B928C3">
              <w:rPr>
                <w:rFonts w:asciiTheme="majorHAnsi" w:hAnsiTheme="majorHAnsi"/>
                <w:bCs/>
                <w:szCs w:val="24"/>
                <w:lang w:val="fr-FR"/>
              </w:rPr>
              <w:t>Restaurant Manager (</w:t>
            </w:r>
            <w:r w:rsidR="00A8182A" w:rsidRPr="00B928C3">
              <w:rPr>
                <w:rFonts w:asciiTheme="majorHAnsi" w:hAnsiTheme="majorHAnsi"/>
                <w:bCs/>
                <w:szCs w:val="24"/>
              </w:rPr>
              <w:t>Existing</w:t>
            </w:r>
            <w:r w:rsidR="00A8182A" w:rsidRPr="00B928C3">
              <w:rPr>
                <w:rFonts w:asciiTheme="majorHAnsi" w:hAnsiTheme="majorHAnsi"/>
                <w:bCs/>
                <w:szCs w:val="24"/>
                <w:lang w:val="fr-FR"/>
              </w:rPr>
              <w:t xml:space="preserve"> </w:t>
            </w:r>
            <w:r w:rsidR="00A8182A" w:rsidRPr="00B928C3">
              <w:rPr>
                <w:rFonts w:asciiTheme="majorHAnsi" w:hAnsiTheme="majorHAnsi"/>
                <w:bCs/>
                <w:szCs w:val="24"/>
              </w:rPr>
              <w:t>Title</w:t>
            </w:r>
            <w:r w:rsidR="00A8182A" w:rsidRPr="00B928C3">
              <w:rPr>
                <w:rFonts w:asciiTheme="majorHAnsi" w:hAnsiTheme="majorHAnsi"/>
                <w:bCs/>
                <w:szCs w:val="24"/>
                <w:lang w:val="fr-FR"/>
              </w:rPr>
              <w:t xml:space="preserve">: Manager, Food Service) </w:t>
            </w:r>
            <w:r w:rsidRPr="00B928C3">
              <w:rPr>
                <w:rFonts w:asciiTheme="majorHAnsi" w:hAnsiTheme="majorHAnsi" w:cs="Arial"/>
                <w:bCs/>
                <w:szCs w:val="24"/>
              </w:rPr>
              <w:t xml:space="preserve">was submitted for revision by </w:t>
            </w:r>
            <w:r w:rsidRPr="00B928C3">
              <w:rPr>
                <w:rFonts w:asciiTheme="majorHAnsi" w:hAnsiTheme="majorHAnsi" w:cs="Arial"/>
                <w:szCs w:val="24"/>
              </w:rPr>
              <w:t xml:space="preserve">Mr. Rodd Gifford, Executive Vice President, National Restaurant Association Educational Foundation (NRAEF).  The revision includes offering </w:t>
            </w:r>
            <w:r w:rsidR="00A8182A" w:rsidRPr="00B928C3">
              <w:rPr>
                <w:rFonts w:asciiTheme="majorHAnsi" w:hAnsiTheme="majorHAnsi" w:cs="Arial"/>
                <w:szCs w:val="24"/>
              </w:rPr>
              <w:t xml:space="preserve">an </w:t>
            </w:r>
            <w:r w:rsidRPr="00B928C3">
              <w:rPr>
                <w:rFonts w:asciiTheme="majorHAnsi" w:hAnsiTheme="majorHAnsi" w:cs="Arial"/>
                <w:szCs w:val="24"/>
              </w:rPr>
              <w:t xml:space="preserve">alternative training term for the Hospitality sector in the competency-based format. </w:t>
            </w:r>
          </w:p>
          <w:p w:rsidR="00612569" w:rsidRPr="00B928C3" w:rsidRDefault="00612569" w:rsidP="00A8182A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612569" w:rsidRPr="00B928C3" w:rsidRDefault="00612569" w:rsidP="00A8182A">
            <w:pPr>
              <w:pStyle w:val="BodyTextIndent"/>
              <w:ind w:left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928C3">
              <w:rPr>
                <w:rFonts w:asciiTheme="majorHAnsi" w:hAnsiTheme="majorHAnsi" w:cs="Arial"/>
                <w:sz w:val="24"/>
                <w:szCs w:val="24"/>
              </w:rPr>
              <w:t xml:space="preserve">The revised </w:t>
            </w:r>
            <w:r w:rsidR="00A8182A" w:rsidRPr="00B928C3">
              <w:rPr>
                <w:rFonts w:asciiTheme="majorHAnsi" w:hAnsiTheme="majorHAnsi"/>
                <w:bCs/>
                <w:sz w:val="24"/>
                <w:szCs w:val="24"/>
                <w:lang w:val="fr-FR"/>
              </w:rPr>
              <w:t>Manager, Food Service</w:t>
            </w:r>
            <w:r w:rsidR="00A8182A" w:rsidRPr="00B928C3">
              <w:rPr>
                <w:rFonts w:asciiTheme="majorHAnsi" w:hAnsiTheme="majorHAnsi" w:cs="Arial"/>
                <w:sz w:val="24"/>
                <w:szCs w:val="24"/>
              </w:rPr>
              <w:t xml:space="preserve"> occupation </w:t>
            </w:r>
            <w:r w:rsidRPr="00B928C3">
              <w:rPr>
                <w:rFonts w:asciiTheme="majorHAnsi" w:hAnsiTheme="majorHAnsi" w:cs="Arial"/>
                <w:sz w:val="24"/>
                <w:szCs w:val="24"/>
              </w:rPr>
              <w:t xml:space="preserve">will be added to the List of Occupations Recognized as Apprenticeable by OA when the list is reissued.  The </w:t>
            </w:r>
            <w:r w:rsidR="00A8182A" w:rsidRPr="00B928C3">
              <w:rPr>
                <w:rFonts w:asciiTheme="majorHAnsi" w:hAnsiTheme="majorHAnsi" w:cs="Arial"/>
                <w:sz w:val="24"/>
                <w:szCs w:val="24"/>
              </w:rPr>
              <w:t>NRAEF</w:t>
            </w:r>
            <w:r w:rsidRPr="00B928C3">
              <w:rPr>
                <w:rFonts w:asciiTheme="majorHAnsi" w:hAnsiTheme="majorHAnsi" w:cs="Arial"/>
                <w:sz w:val="24"/>
                <w:szCs w:val="24"/>
              </w:rPr>
              <w:t xml:space="preserve"> Work Process Schedule and Related Instruction Outline are attached.</w:t>
            </w: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>If you have any questions, please contact Mr. Doug McPherson, Apprenticeship and Training Representative, Division of Program Quality, Standards and Policy at (202) 693-3783.</w:t>
            </w: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B928C3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B928C3">
              <w:rPr>
                <w:rFonts w:asciiTheme="majorHAnsi" w:hAnsiTheme="majorHAnsi" w:cs="Arial"/>
                <w:szCs w:val="24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</w:p>
          <w:p w:rsidR="00612569" w:rsidRDefault="00612569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CA201E" w:rsidRPr="00B928C3" w:rsidRDefault="00CA201E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612569" w:rsidRPr="00B928C3" w:rsidRDefault="00612569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B928C3">
              <w:rPr>
                <w:rFonts w:asciiTheme="majorHAnsi" w:hAnsiTheme="majorHAnsi" w:cs="Arial"/>
                <w:b/>
                <w:szCs w:val="24"/>
              </w:rPr>
              <w:t>:</w:t>
            </w:r>
            <w:r w:rsidRPr="00B928C3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:rsidR="00A8182A" w:rsidRPr="00B928C3" w:rsidRDefault="00A8182A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A8182A" w:rsidRPr="00B928C3" w:rsidRDefault="00A8182A" w:rsidP="00A8182A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B928C3">
              <w:rPr>
                <w:rFonts w:asciiTheme="majorHAnsi" w:hAnsiTheme="majorHAnsi" w:cs="Arial"/>
                <w:szCs w:val="24"/>
              </w:rPr>
              <w:t>Attachment</w:t>
            </w:r>
          </w:p>
          <w:p w:rsidR="00612569" w:rsidRPr="00B928C3" w:rsidRDefault="00612569" w:rsidP="00A8182A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0" w:name="_MON_1558351899"/>
          <w:bookmarkEnd w:id="0"/>
          <w:p w:rsidR="00612569" w:rsidRDefault="00B928C3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r w:rsidRPr="00C5307F">
              <w:rPr>
                <w:rFonts w:asciiTheme="majorHAnsi" w:hAnsiTheme="majorHAnsi" w:cs="Arial"/>
                <w:szCs w:val="24"/>
              </w:rPr>
              <w:object w:dxaOrig="2251" w:dyaOrig="14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2.7pt;height:70.75pt" o:ole="">
                  <v:imagedata r:id="rId7" o:title=""/>
                </v:shape>
                <o:OLEObject Type="Embed" ProgID="Word.Document.12" ShapeID="_x0000_i1027" DrawAspect="Icon" ObjectID="_1561531371" r:id="rId8">
                  <o:FieldCodes>\s</o:FieldCodes>
                </o:OLEObject>
              </w:object>
            </w: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  <w:p w:rsid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  <w:bookmarkStart w:id="1" w:name="_GoBack"/>
            <w:bookmarkEnd w:id="1"/>
          </w:p>
          <w:p w:rsidR="00CA201E" w:rsidRPr="00CA201E" w:rsidRDefault="00CA201E" w:rsidP="00A8182A">
            <w:pPr>
              <w:widowControl/>
              <w:spacing w:after="28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FD0435" w:rsidRPr="00B928C3" w:rsidRDefault="00FD0435">
      <w:pPr>
        <w:rPr>
          <w:szCs w:val="24"/>
        </w:rPr>
      </w:pPr>
    </w:p>
    <w:sectPr w:rsidR="00FD0435" w:rsidRPr="00B92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69"/>
    <w:rsid w:val="00057736"/>
    <w:rsid w:val="00181F3A"/>
    <w:rsid w:val="004A5344"/>
    <w:rsid w:val="004C2D89"/>
    <w:rsid w:val="005D72CC"/>
    <w:rsid w:val="00612569"/>
    <w:rsid w:val="00680138"/>
    <w:rsid w:val="00A8182A"/>
    <w:rsid w:val="00AC22B5"/>
    <w:rsid w:val="00B200CC"/>
    <w:rsid w:val="00B928C3"/>
    <w:rsid w:val="00C5307F"/>
    <w:rsid w:val="00CA201E"/>
    <w:rsid w:val="00F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69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12569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256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69"/>
    <w:pPr>
      <w:widowControl w:val="0"/>
      <w:snapToGri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12569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256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00EC.972066E0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33E9-25DD-4E4E-B098-051B2B3F34AC}"/>
</file>

<file path=customXml/itemProps2.xml><?xml version="1.0" encoding="utf-8"?>
<ds:datastoreItem xmlns:ds="http://schemas.openxmlformats.org/officeDocument/2006/customXml" ds:itemID="{11BC1FD9-24DB-438C-985B-C0C5058D3121}"/>
</file>

<file path=customXml/itemProps3.xml><?xml version="1.0" encoding="utf-8"?>
<ds:datastoreItem xmlns:ds="http://schemas.openxmlformats.org/officeDocument/2006/customXml" ds:itemID="{584711E0-15FE-4FC0-9837-4B7378C24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Ramos, Tiffany -ETA</cp:lastModifiedBy>
  <cp:revision>5</cp:revision>
  <cp:lastPrinted>2017-06-07T18:48:00Z</cp:lastPrinted>
  <dcterms:created xsi:type="dcterms:W3CDTF">2017-06-07T18:19:00Z</dcterms:created>
  <dcterms:modified xsi:type="dcterms:W3CDTF">2017-07-14T13:56:00Z</dcterms:modified>
</cp:coreProperties>
</file>