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5EE28EAE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F53AFE">
        <w:rPr>
          <w:rFonts w:asciiTheme="majorHAnsi" w:hAnsiTheme="majorHAnsi" w:cs="Arial"/>
          <w:sz w:val="22"/>
          <w:szCs w:val="22"/>
        </w:rPr>
        <w:t>21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7B17E2">
        <w:rPr>
          <w:rFonts w:asciiTheme="majorHAnsi" w:hAnsiTheme="majorHAnsi" w:cs="Arial"/>
          <w:sz w:val="22"/>
          <w:szCs w:val="22"/>
        </w:rPr>
        <w:t>14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7B17E2">
        <w:rPr>
          <w:rFonts w:asciiTheme="majorHAnsi" w:hAnsiTheme="majorHAnsi" w:cs="Arial"/>
          <w:sz w:val="22"/>
          <w:szCs w:val="22"/>
        </w:rPr>
        <w:t xml:space="preserve">December </w:t>
      </w:r>
      <w:r w:rsidR="00AF4474">
        <w:rPr>
          <w:rFonts w:asciiTheme="majorHAnsi" w:hAnsiTheme="majorHAnsi" w:cs="Arial"/>
          <w:sz w:val="22"/>
          <w:szCs w:val="22"/>
        </w:rPr>
        <w:t>7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111C1B">
        <w:rPr>
          <w:rFonts w:asciiTheme="majorHAnsi" w:hAnsiTheme="majorHAnsi" w:cs="Arial"/>
          <w:sz w:val="22"/>
          <w:szCs w:val="22"/>
        </w:rPr>
        <w:t>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7325A67E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New Apprenticeable Occupation</w:t>
            </w:r>
            <w:r w:rsidR="00AA28A4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:  </w:t>
            </w:r>
            <w:r w:rsidR="00AA28A4" w:rsidRPr="00AA28A4">
              <w:rPr>
                <w:rFonts w:asciiTheme="majorHAnsi" w:hAnsiTheme="majorHAnsi" w:cs="Arial"/>
                <w:sz w:val="22"/>
                <w:szCs w:val="22"/>
              </w:rPr>
              <w:t>Overhead Utility Installer</w:t>
            </w:r>
            <w:r w:rsidR="00AF19A9">
              <w:t xml:space="preserve"> </w:t>
            </w:r>
            <w:r w:rsidR="00AF19A9" w:rsidRPr="00AF19A9">
              <w:rPr>
                <w:rFonts w:asciiTheme="majorHAnsi" w:hAnsiTheme="majorHAnsi" w:cs="Arial"/>
                <w:sz w:val="22"/>
                <w:szCs w:val="22"/>
              </w:rPr>
              <w:t>Technician</w:t>
            </w:r>
            <w:r w:rsidR="00AA28A4" w:rsidRPr="00AA28A4">
              <w:rPr>
                <w:rFonts w:asciiTheme="majorHAnsi" w:hAnsiTheme="majorHAnsi" w:cs="Arial"/>
                <w:sz w:val="22"/>
                <w:szCs w:val="22"/>
              </w:rPr>
              <w:t xml:space="preserve"> and Underground Utility Installer </w:t>
            </w:r>
            <w:r w:rsidR="00AF19A9" w:rsidRPr="00AF19A9">
              <w:rPr>
                <w:rFonts w:asciiTheme="majorHAnsi" w:hAnsiTheme="majorHAnsi" w:cs="Arial"/>
                <w:sz w:val="22"/>
                <w:szCs w:val="22"/>
              </w:rPr>
              <w:t>Technician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18137A6C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6E35B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6B4900BD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</w:t>
            </w:r>
            <w:r w:rsidR="00AA28A4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3DC84947" w14:textId="647FA04F" w:rsidR="00C07546" w:rsidRDefault="00577929" w:rsidP="00931F8D">
            <w:pPr>
              <w:rPr>
                <w:rFonts w:ascii="Cambria" w:hAnsi="Cambria" w:cs="Arial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AA28A4" w:rsidRPr="00AA28A4">
              <w:rPr>
                <w:rFonts w:ascii="Cambria" w:hAnsi="Cambria" w:cs="Arial"/>
              </w:rPr>
              <w:t>Overhead Utility Insta</w:t>
            </w:r>
            <w:r w:rsidR="00AA28A4">
              <w:rPr>
                <w:rFonts w:ascii="Cambria" w:hAnsi="Cambria" w:cs="Arial"/>
              </w:rPr>
              <w:t xml:space="preserve">ller </w:t>
            </w:r>
            <w:r w:rsidR="00AF19A9" w:rsidRPr="00AF19A9">
              <w:rPr>
                <w:rFonts w:ascii="Cambria" w:hAnsi="Cambria" w:cs="Arial"/>
              </w:rPr>
              <w:t>Technician</w:t>
            </w:r>
          </w:p>
          <w:p w14:paraId="47AFED0D" w14:textId="0E1815BB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AA28A4" w:rsidRPr="00AA28A4">
              <w:rPr>
                <w:rFonts w:asciiTheme="majorHAnsi" w:hAnsiTheme="majorHAnsi" w:cs="Arial"/>
                <w:sz w:val="22"/>
                <w:szCs w:val="22"/>
                <w:lang w:val="es-ES"/>
              </w:rPr>
              <w:t>49-9052.00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</w:t>
            </w:r>
          </w:p>
          <w:p w14:paraId="4325F7C5" w14:textId="31896BD6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7B17E2">
              <w:rPr>
                <w:rFonts w:asciiTheme="majorHAnsi" w:hAnsiTheme="majorHAnsi" w:cs="Arial"/>
                <w:sz w:val="22"/>
                <w:szCs w:val="22"/>
              </w:rPr>
              <w:t>3008CB</w:t>
            </w:r>
          </w:p>
          <w:p w14:paraId="229F178F" w14:textId="37A20DFF" w:rsidR="009A3D59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5EFFD17E" w14:textId="2F0700AE" w:rsidR="00AA28A4" w:rsidRDefault="00AA28A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</w:p>
          <w:p w14:paraId="27AC5973" w14:textId="4FCC9318" w:rsidR="00AA28A4" w:rsidRPr="00AA28A4" w:rsidRDefault="00AA28A4" w:rsidP="00AA28A4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Pr="00AA28A4">
              <w:rPr>
                <w:rFonts w:asciiTheme="majorHAnsi" w:hAnsiTheme="majorHAnsi" w:cs="Arial"/>
                <w:sz w:val="22"/>
                <w:szCs w:val="22"/>
              </w:rPr>
              <w:t xml:space="preserve">Underground Utility Installer </w:t>
            </w:r>
            <w:r w:rsidR="00AF19A9" w:rsidRPr="00AF19A9">
              <w:rPr>
                <w:rFonts w:asciiTheme="majorHAnsi" w:hAnsiTheme="majorHAnsi" w:cs="Arial"/>
                <w:sz w:val="22"/>
                <w:szCs w:val="22"/>
              </w:rPr>
              <w:t>Technician</w:t>
            </w:r>
          </w:p>
          <w:p w14:paraId="19F0521E" w14:textId="47E31E18" w:rsidR="00AA28A4" w:rsidRPr="00AA28A4" w:rsidRDefault="00AA28A4" w:rsidP="00AA28A4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AA28A4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O*NET-SOC Code:  49-9052.00  </w:t>
            </w:r>
          </w:p>
          <w:p w14:paraId="338B0B5C" w14:textId="0695264C" w:rsidR="00AA28A4" w:rsidRPr="00AA28A4" w:rsidRDefault="00AA28A4" w:rsidP="00AA28A4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AA28A4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  </w:t>
            </w:r>
            <w:r w:rsidR="007B17E2">
              <w:rPr>
                <w:rFonts w:asciiTheme="majorHAnsi" w:hAnsiTheme="majorHAnsi" w:cs="Arial"/>
                <w:sz w:val="22"/>
                <w:szCs w:val="22"/>
              </w:rPr>
              <w:t>3009CB</w:t>
            </w:r>
          </w:p>
          <w:p w14:paraId="3AB1E5C8" w14:textId="33187146" w:rsidR="00AA28A4" w:rsidRPr="00EA3CEF" w:rsidRDefault="00AA28A4" w:rsidP="00AA28A4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AA28A4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Type of Training:  Competency-based    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4C579E5E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358AF" w14:textId="1BA90287" w:rsidR="00C07546" w:rsidRPr="00C9039E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The occupation</w:t>
            </w:r>
            <w:r w:rsidR="00AA28A4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AA28A4" w:rsidRPr="00AA28A4">
              <w:rPr>
                <w:rFonts w:asciiTheme="majorHAnsi" w:hAnsiTheme="majorHAnsi" w:cs="Arial"/>
                <w:sz w:val="22"/>
                <w:szCs w:val="22"/>
              </w:rPr>
              <w:t>Overhead Utility Installe</w:t>
            </w:r>
            <w:r w:rsidR="009C1E9E">
              <w:rPr>
                <w:rFonts w:asciiTheme="majorHAnsi" w:hAnsiTheme="majorHAnsi" w:cs="Arial"/>
                <w:sz w:val="22"/>
                <w:szCs w:val="22"/>
              </w:rPr>
              <w:t>r</w:t>
            </w:r>
            <w:r w:rsidR="00AA28A4" w:rsidRPr="00AA28A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AF19A9" w:rsidRPr="00AF19A9">
              <w:rPr>
                <w:rFonts w:asciiTheme="majorHAnsi" w:hAnsiTheme="majorHAnsi" w:cs="Arial"/>
                <w:sz w:val="22"/>
                <w:szCs w:val="22"/>
              </w:rPr>
              <w:t xml:space="preserve">Technician </w:t>
            </w:r>
            <w:r w:rsidR="00AA28A4" w:rsidRPr="00AA28A4">
              <w:rPr>
                <w:rFonts w:asciiTheme="majorHAnsi" w:hAnsiTheme="majorHAnsi" w:cs="Arial"/>
                <w:sz w:val="22"/>
                <w:szCs w:val="22"/>
              </w:rPr>
              <w:t>and Undergro</w:t>
            </w:r>
            <w:r w:rsidR="009C1E9E">
              <w:rPr>
                <w:rFonts w:asciiTheme="majorHAnsi" w:hAnsiTheme="majorHAnsi" w:cs="Arial"/>
                <w:sz w:val="22"/>
                <w:szCs w:val="22"/>
              </w:rPr>
              <w:t>und Utility Installer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AF19A9" w:rsidRPr="00AF19A9">
              <w:rPr>
                <w:rFonts w:asciiTheme="majorHAnsi" w:hAnsiTheme="majorHAnsi" w:cs="Arial"/>
                <w:sz w:val="22"/>
                <w:szCs w:val="22"/>
              </w:rPr>
              <w:t xml:space="preserve">Technician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was submitted by </w:t>
            </w:r>
            <w:r w:rsidR="00110C88" w:rsidRPr="00110C88">
              <w:rPr>
                <w:rFonts w:asciiTheme="majorHAnsi" w:hAnsiTheme="majorHAnsi" w:cs="Arial"/>
                <w:sz w:val="22"/>
                <w:szCs w:val="22"/>
              </w:rPr>
              <w:t xml:space="preserve">Ms. Debroah Bennett, Director of Apprenticeship for Wireless Infrastructure Association (WIA) </w:t>
            </w:r>
            <w:r w:rsidR="00AA28A4" w:rsidRPr="00AA28A4">
              <w:rPr>
                <w:rFonts w:asciiTheme="majorHAnsi" w:hAnsiTheme="majorHAnsi" w:cs="Arial"/>
                <w:sz w:val="22"/>
                <w:szCs w:val="22"/>
              </w:rPr>
              <w:t>on behalf of Telecommunications Industry Registered App</w:t>
            </w:r>
            <w:r w:rsidR="00AA28A4">
              <w:rPr>
                <w:rFonts w:asciiTheme="majorHAnsi" w:hAnsiTheme="majorHAnsi" w:cs="Arial"/>
                <w:sz w:val="22"/>
                <w:szCs w:val="22"/>
              </w:rPr>
              <w:t>renticeship Program (TIRAP)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for an apprenticeability determination.  The</w:t>
            </w:r>
            <w:r w:rsidR="00AA28A4">
              <w:rPr>
                <w:rFonts w:asciiTheme="majorHAnsi" w:hAnsiTheme="majorHAnsi" w:cs="Arial"/>
                <w:sz w:val="22"/>
                <w:szCs w:val="22"/>
              </w:rPr>
              <w:t xml:space="preserve"> OA Administrator approved these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occupation</w:t>
            </w:r>
            <w:r w:rsidR="00AA28A4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 on </w:t>
            </w:r>
            <w:r w:rsidR="007B17E2">
              <w:rPr>
                <w:rFonts w:asciiTheme="majorHAnsi" w:hAnsiTheme="majorHAnsi" w:cs="Arial"/>
                <w:sz w:val="22"/>
                <w:szCs w:val="22"/>
              </w:rPr>
              <w:t>December 4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, 2020.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25651212" w:rsidR="00C07546" w:rsidRPr="004578B5" w:rsidRDefault="00AA28A4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AA28A4">
              <w:rPr>
                <w:rFonts w:asciiTheme="majorHAnsi" w:eastAsia="Calibri" w:hAnsiTheme="majorHAnsi" w:cs="Arial"/>
                <w:sz w:val="22"/>
                <w:szCs w:val="22"/>
              </w:rPr>
              <w:t>Overh</w:t>
            </w:r>
            <w:r w:rsidR="009C1E9E">
              <w:rPr>
                <w:rFonts w:asciiTheme="majorHAnsi" w:eastAsia="Calibri" w:hAnsiTheme="majorHAnsi" w:cs="Arial"/>
                <w:sz w:val="22"/>
                <w:szCs w:val="22"/>
              </w:rPr>
              <w:t>ead Utility Installer</w:t>
            </w:r>
            <w:r w:rsidRPr="00AA28A4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AF19A9" w:rsidRPr="00AF19A9">
              <w:rPr>
                <w:rFonts w:asciiTheme="majorHAnsi" w:eastAsia="Calibri" w:hAnsiTheme="majorHAnsi" w:cs="Arial"/>
                <w:sz w:val="22"/>
                <w:szCs w:val="22"/>
              </w:rPr>
              <w:t xml:space="preserve">Technician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14:paraId="147BA5D6" w14:textId="33E59A63" w:rsidR="00B2510E" w:rsidRPr="00B2510E" w:rsidRDefault="00AA28A4" w:rsidP="00B2510E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AA28A4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Demonstrates prop</w:t>
            </w:r>
            <w:r w:rsidR="00B2510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er use of common hand tools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such as </w:t>
            </w:r>
            <w:r w:rsidR="00B2510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air compressor, cable lasher, traffic control tools, underground utility locator and voltage indicator</w:t>
            </w:r>
            <w:r w:rsidR="00C0754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  <w:r w:rsidR="00B2510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and</w:t>
            </w:r>
          </w:p>
          <w:p w14:paraId="196DC928" w14:textId="4E07C2B6" w:rsidR="00B2510E" w:rsidRDefault="00B2510E" w:rsidP="00B2510E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B2510E">
              <w:rPr>
                <w:rFonts w:ascii="Cambria" w:hAnsi="Cambria"/>
              </w:rPr>
              <w:t>Will</w:t>
            </w:r>
            <w:r>
              <w:t xml:space="preserve"> </w:t>
            </w:r>
            <w:r w:rsidRPr="00B2510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work with a wide variety of cabling, including fiber optic cable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and industry regulations.</w:t>
            </w:r>
          </w:p>
          <w:p w14:paraId="31698EDD" w14:textId="6695BC83" w:rsidR="00AA28A4" w:rsidRDefault="00AA28A4" w:rsidP="00B2510E">
            <w:pPr>
              <w:pStyle w:val="BodyTextIndent"/>
              <w:ind w:left="0"/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</w:p>
          <w:p w14:paraId="0C2B65D9" w14:textId="09727D8D" w:rsidR="00AA28A4" w:rsidRPr="004578B5" w:rsidRDefault="00AA28A4" w:rsidP="00AA28A4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AA28A4">
              <w:rPr>
                <w:rFonts w:asciiTheme="majorHAnsi" w:eastAsia="Calibri" w:hAnsiTheme="majorHAnsi" w:cs="Arial"/>
                <w:sz w:val="22"/>
                <w:szCs w:val="22"/>
              </w:rPr>
              <w:t>Undergro</w:t>
            </w:r>
            <w:r w:rsidR="009C1E9E">
              <w:rPr>
                <w:rFonts w:asciiTheme="majorHAnsi" w:eastAsia="Calibri" w:hAnsiTheme="majorHAnsi" w:cs="Arial"/>
                <w:sz w:val="22"/>
                <w:szCs w:val="22"/>
              </w:rPr>
              <w:t>und Utility Installer</w:t>
            </w:r>
            <w:r w:rsidRPr="00AA28A4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AF19A9" w:rsidRPr="00AF19A9">
              <w:rPr>
                <w:rFonts w:asciiTheme="majorHAnsi" w:eastAsia="Calibri" w:hAnsiTheme="majorHAnsi" w:cs="Arial"/>
                <w:sz w:val="22"/>
                <w:szCs w:val="22"/>
              </w:rPr>
              <w:t xml:space="preserve">Technician 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14:paraId="77EEF3B8" w14:textId="7F32706A" w:rsidR="00AA28A4" w:rsidRPr="00B2510E" w:rsidRDefault="00AA28A4" w:rsidP="00B2510E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bCs/>
                <w:snapToGrid/>
                <w:color w:val="000000"/>
                <w:szCs w:val="22"/>
              </w:rPr>
            </w:pPr>
            <w:r w:rsidRPr="00AA28A4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Demonstrates proper use of common heavy equipment such as</w:t>
            </w:r>
            <w:r w:rsidRPr="00AA28A4">
              <w:rPr>
                <w:rFonts w:ascii="Cambria" w:hAnsi="Cambria"/>
                <w:bCs/>
                <w:snapToGrid/>
                <w:color w:val="000000"/>
                <w:sz w:val="20"/>
              </w:rPr>
              <w:t xml:space="preserve"> </w:t>
            </w:r>
            <w:r w:rsidRPr="00AA28A4">
              <w:rPr>
                <w:rFonts w:asciiTheme="majorHAnsi" w:eastAsia="Calibri" w:hAnsiTheme="majorHAnsi" w:cs="Arial"/>
                <w:bCs/>
                <w:snapToGrid/>
                <w:color w:val="000000"/>
                <w:szCs w:val="22"/>
              </w:rPr>
              <w:t>Hydrovac/Flusher Truck</w:t>
            </w:r>
            <w:r>
              <w:rPr>
                <w:rFonts w:asciiTheme="majorHAnsi" w:eastAsia="Calibri" w:hAnsiTheme="majorHAnsi" w:cs="Arial"/>
                <w:bCs/>
                <w:snapToGrid/>
                <w:color w:val="000000"/>
                <w:szCs w:val="22"/>
              </w:rPr>
              <w:t xml:space="preserve">, </w:t>
            </w:r>
            <w:r w:rsidRPr="00AA28A4">
              <w:rPr>
                <w:rFonts w:asciiTheme="majorHAnsi" w:eastAsia="Calibri" w:hAnsiTheme="majorHAnsi" w:cs="Arial"/>
                <w:bCs/>
                <w:snapToGrid/>
                <w:color w:val="000000"/>
                <w:szCs w:val="22"/>
              </w:rPr>
              <w:t>Directional Boring Machine</w:t>
            </w:r>
            <w:r>
              <w:rPr>
                <w:rFonts w:asciiTheme="majorHAnsi" w:eastAsia="Calibri" w:hAnsiTheme="majorHAnsi" w:cs="Arial"/>
                <w:bCs/>
                <w:snapToGrid/>
                <w:color w:val="000000"/>
                <w:szCs w:val="22"/>
              </w:rPr>
              <w:t xml:space="preserve">, and </w:t>
            </w:r>
            <w:r w:rsidR="00B2510E" w:rsidRPr="00B2510E">
              <w:rPr>
                <w:rFonts w:asciiTheme="majorHAnsi" w:eastAsia="Calibri" w:hAnsiTheme="majorHAnsi" w:cs="Arial"/>
                <w:bCs/>
                <w:snapToGrid/>
                <w:color w:val="000000"/>
                <w:szCs w:val="22"/>
              </w:rPr>
              <w:t>Backhoe or Mini Excavator</w:t>
            </w:r>
            <w:r w:rsidRPr="00B2510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  <w:r w:rsidR="00B2510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and</w:t>
            </w:r>
          </w:p>
          <w:p w14:paraId="7388849A" w14:textId="6A16F29E" w:rsidR="00AA28A4" w:rsidRPr="00B2510E" w:rsidRDefault="00B2510E" w:rsidP="00B2510E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W</w:t>
            </w:r>
            <w:r w:rsidRPr="00B2510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ill use skills such as underground utility location, fiber optic technolog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y, and industry regulations.</w:t>
            </w:r>
          </w:p>
          <w:p w14:paraId="1E0C53B8" w14:textId="1E6728A0" w:rsidR="00C07546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68E51C5" w14:textId="357967C8" w:rsidR="00F534BF" w:rsidRDefault="00B2510E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2510E">
              <w:rPr>
                <w:rFonts w:asciiTheme="majorHAnsi" w:hAnsiTheme="majorHAnsi" w:cs="Arial"/>
                <w:sz w:val="22"/>
                <w:szCs w:val="22"/>
              </w:rPr>
              <w:t>Overh</w:t>
            </w:r>
            <w:r w:rsidR="009C1E9E">
              <w:rPr>
                <w:rFonts w:asciiTheme="majorHAnsi" w:hAnsiTheme="majorHAnsi" w:cs="Arial"/>
                <w:sz w:val="22"/>
                <w:szCs w:val="22"/>
              </w:rPr>
              <w:t>ead Utility Installer</w:t>
            </w:r>
            <w:r w:rsidRPr="00B2510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AF19A9" w:rsidRPr="00AF19A9">
              <w:rPr>
                <w:rFonts w:asciiTheme="majorHAnsi" w:hAnsiTheme="majorHAnsi" w:cs="Arial"/>
                <w:sz w:val="22"/>
                <w:szCs w:val="22"/>
              </w:rPr>
              <w:t xml:space="preserve">Technician </w:t>
            </w:r>
            <w:r w:rsidRPr="00B2510E">
              <w:rPr>
                <w:rFonts w:asciiTheme="majorHAnsi" w:hAnsiTheme="majorHAnsi" w:cs="Arial"/>
                <w:sz w:val="22"/>
                <w:szCs w:val="22"/>
              </w:rPr>
              <w:t>and Undergro</w:t>
            </w:r>
            <w:r w:rsidR="009C1E9E">
              <w:rPr>
                <w:rFonts w:asciiTheme="majorHAnsi" w:hAnsiTheme="majorHAnsi" w:cs="Arial"/>
                <w:sz w:val="22"/>
                <w:szCs w:val="22"/>
              </w:rPr>
              <w:t>und Utility Installer</w:t>
            </w:r>
            <w:r w:rsidRPr="00B2510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AF19A9" w:rsidRPr="00AF19A9">
              <w:rPr>
                <w:rFonts w:asciiTheme="majorHAnsi" w:hAnsiTheme="majorHAnsi" w:cs="Arial"/>
                <w:sz w:val="22"/>
                <w:szCs w:val="22"/>
              </w:rPr>
              <w:t xml:space="preserve">Technician 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>will be added to the List of Occupations Recognized as Apprenticeable by OA when the list is reissued.  A suggested Work Process Schedule and Related Instruction Outline are attached.</w:t>
            </w:r>
          </w:p>
          <w:p w14:paraId="4D5E8833" w14:textId="77777777"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1C2BAC7F" w14:textId="77777777" w:rsidR="006E35B0" w:rsidRDefault="006E35B0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71A7C7F" w14:textId="77777777" w:rsidR="006E35B0" w:rsidRDefault="006E35B0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8D6DE43" w14:textId="315E3B6C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Kirk Jefferson, </w:t>
            </w:r>
            <w:r w:rsidR="00111C1B">
              <w:rPr>
                <w:rFonts w:asciiTheme="majorHAnsi" w:hAnsiTheme="majorHAnsi" w:cs="Arial"/>
                <w:sz w:val="22"/>
                <w:szCs w:val="22"/>
              </w:rPr>
              <w:t>Program Analyst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 202-693-3399.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85C19C7" w14:textId="5B32F67B" w:rsidR="00B53B20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  <w:r w:rsidR="006E35B0">
              <w:rPr>
                <w:rFonts w:asciiTheme="majorHAnsi" w:hAnsiTheme="majorHAnsi" w:cs="Arial"/>
                <w:sz w:val="22"/>
                <w:szCs w:val="22"/>
              </w:rPr>
              <w:t>s</w:t>
            </w:r>
          </w:p>
          <w:bookmarkStart w:id="0" w:name="_MON_1668590053"/>
          <w:bookmarkEnd w:id="0"/>
          <w:p w14:paraId="3B7E6906" w14:textId="08BA8D44" w:rsidR="00F57B73" w:rsidRDefault="008C471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5652F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5.5pt;height:49pt" o:ole="">
                  <v:imagedata r:id="rId11" o:title=""/>
                </v:shape>
                <o:OLEObject Type="Embed" ProgID="Word.Document.12" ShapeID="_x0000_i1028" DrawAspect="Icon" ObjectID="_1668855878" r:id="rId12">
                  <o:FieldCodes>\s</o:FieldCodes>
                </o:OLEObject>
              </w:object>
            </w:r>
            <w:bookmarkStart w:id="1" w:name="_GoBack"/>
            <w:bookmarkStart w:id="2" w:name="_MON_1668590083"/>
            <w:bookmarkEnd w:id="2"/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1E20A1C9">
                <v:shape id="_x0000_i1030" type="#_x0000_t75" style="width:75.5pt;height:49pt" o:ole="">
                  <v:imagedata r:id="rId13" o:title=""/>
                </v:shape>
                <o:OLEObject Type="Embed" ProgID="Word.Document.12" ShapeID="_x0000_i1030" DrawAspect="Icon" ObjectID="_1668855879" r:id="rId14">
                  <o:FieldCodes>\s</o:FieldCodes>
                </o:OLEObject>
              </w:object>
            </w:r>
            <w:bookmarkEnd w:id="1"/>
          </w:p>
          <w:p w14:paraId="728ECE53" w14:textId="0DE064F4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48D98A3" w14:textId="3F90BE9C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EED3F17" w14:textId="46D3EB0F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AED821B" w14:textId="2E4B9DB7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5EE3865" w14:textId="2EBBA28D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F57B7FD" w14:textId="1E9F2D9A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5297C" w14:textId="26C7E8AC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E35C57B" w14:textId="258B765A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2482087" w14:textId="2F8BBC05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EB8E7C1" w14:textId="428F42EB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D06F9FB" w14:textId="61F0E184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1085CFE" w14:textId="5DB525AA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972C4FA" w14:textId="47F9A12E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EA94BF5" w14:textId="2E14DF0D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1BDCAD7" w14:textId="6484B66A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256DAF2" w14:textId="24CD8CA7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C99AC2B" w14:textId="196BB77F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46B430D" w14:textId="2EBE32D3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1B08737" w14:textId="21BA339A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F5A5E87" w14:textId="20246014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E86A95F" w14:textId="15C2BA0B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A67F7CC" w14:textId="3D180D3D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EC0B473" w14:textId="60947D2F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B9361FF" w14:textId="5C0D1091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C4165C9" w14:textId="01CC1EB7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EC30369" w14:textId="58C09032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E68B7F6" w14:textId="21B03535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FF5F89C" w14:textId="541933B2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5E110F3" w14:textId="65AE3733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78890D1" w14:textId="2D4DFAAD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39692EB" w14:textId="18C67026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FC9258B" w14:textId="43C71F4E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908C78E" w14:textId="795C2D76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048F676" w14:textId="3B451A87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5177798" w14:textId="19507B52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F97B4CF" w14:textId="77777777"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B8FE95C" w14:textId="56DE62DF" w:rsidR="00C01761" w:rsidRPr="00EA3CEF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42877" w14:textId="77777777" w:rsidR="005520D0" w:rsidRDefault="005520D0">
      <w:r>
        <w:separator/>
      </w:r>
    </w:p>
  </w:endnote>
  <w:endnote w:type="continuationSeparator" w:id="0">
    <w:p w14:paraId="19C5FEB2" w14:textId="77777777" w:rsidR="005520D0" w:rsidRDefault="0055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B6BFD" w14:textId="77777777" w:rsidR="005520D0" w:rsidRDefault="005520D0">
      <w:r>
        <w:separator/>
      </w:r>
    </w:p>
  </w:footnote>
  <w:footnote w:type="continuationSeparator" w:id="0">
    <w:p w14:paraId="65DA9ACE" w14:textId="77777777" w:rsidR="005520D0" w:rsidRDefault="0055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00CD8"/>
    <w:multiLevelType w:val="hybridMultilevel"/>
    <w:tmpl w:val="FC8A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0C88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104B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2F020A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A0501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20D0"/>
    <w:rsid w:val="00555818"/>
    <w:rsid w:val="00555FB3"/>
    <w:rsid w:val="00557291"/>
    <w:rsid w:val="00557707"/>
    <w:rsid w:val="00561FE7"/>
    <w:rsid w:val="0056710E"/>
    <w:rsid w:val="00577648"/>
    <w:rsid w:val="00577929"/>
    <w:rsid w:val="005D3F29"/>
    <w:rsid w:val="005D49C5"/>
    <w:rsid w:val="005E29E3"/>
    <w:rsid w:val="005E7EEA"/>
    <w:rsid w:val="005F47B2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35B0"/>
    <w:rsid w:val="006E4B0C"/>
    <w:rsid w:val="0071530A"/>
    <w:rsid w:val="007179FD"/>
    <w:rsid w:val="007310FB"/>
    <w:rsid w:val="00740637"/>
    <w:rsid w:val="007755D5"/>
    <w:rsid w:val="007A1F93"/>
    <w:rsid w:val="007A52D1"/>
    <w:rsid w:val="007B17E2"/>
    <w:rsid w:val="007B38B7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84C10"/>
    <w:rsid w:val="008901CA"/>
    <w:rsid w:val="00895274"/>
    <w:rsid w:val="008A5C83"/>
    <w:rsid w:val="008B2C3B"/>
    <w:rsid w:val="008C4715"/>
    <w:rsid w:val="008C524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1E9E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28A4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19A9"/>
    <w:rsid w:val="00AF445A"/>
    <w:rsid w:val="00AF4474"/>
    <w:rsid w:val="00B128C1"/>
    <w:rsid w:val="00B15782"/>
    <w:rsid w:val="00B15C4C"/>
    <w:rsid w:val="00B2510E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702F4"/>
    <w:rsid w:val="00C73221"/>
    <w:rsid w:val="00C77694"/>
    <w:rsid w:val="00C876A2"/>
    <w:rsid w:val="00C902B0"/>
    <w:rsid w:val="00C9039E"/>
    <w:rsid w:val="00CA0FA8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4AC5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B476A"/>
    <w:rsid w:val="00ED411A"/>
    <w:rsid w:val="00ED4B89"/>
    <w:rsid w:val="00ED652E"/>
    <w:rsid w:val="00ED6B5C"/>
    <w:rsid w:val="00EE3226"/>
    <w:rsid w:val="00EE7C53"/>
    <w:rsid w:val="00EF26AA"/>
    <w:rsid w:val="00EF7846"/>
    <w:rsid w:val="00F0688F"/>
    <w:rsid w:val="00F14AD9"/>
    <w:rsid w:val="00F17162"/>
    <w:rsid w:val="00F2648E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cd9c48b3ea10cf4470f6bec55da56cfd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6ac1ec43c36f29648ffc0348d52c7f9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921D3-CB58-4B6D-89E0-19D829249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7151F-B386-4F16-B377-B7CF45CC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12</cp:revision>
  <cp:lastPrinted>2019-09-09T14:14:00Z</cp:lastPrinted>
  <dcterms:created xsi:type="dcterms:W3CDTF">2020-11-17T19:08:00Z</dcterms:created>
  <dcterms:modified xsi:type="dcterms:W3CDTF">2020-12-07T19:18:00Z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